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4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Date of Report (Date of earliest event reported): November 4, 2026</w:t>
      </w:r>
    </w:p>
    <w:p>
      <w:pPr>
        <w:spacing w:after="0" w:line="10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8"/>
          <w:szCs w:val="28"/>
          <w:b w:val="1"/>
          <w:bCs w:val="1"/>
          <w:color w:val="auto"/>
        </w:rPr>
        <w:t>CrossAmerica Partners LP</w:t>
      </w:r>
    </w:p>
    <w:p>
      <w:pPr>
        <w:spacing w:after="0" w:line="4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5"/>
          </w:cols>
          <w:pgMar w:left="315" w:top="783" w:right="319" w:bottom="1440" w:gutter="0" w:footer="0" w:header="0"/>
        </w:sectPr>
      </w:pPr>
    </w:p>
    <w:p>
      <w:pPr>
        <w:spacing w:after="0" w:line="115" w:lineRule="exact"/>
        <w:rPr>
          <w:sz w:val="24"/>
          <w:szCs w:val="24"/>
          <w:color w:val="auto"/>
        </w:rPr>
      </w:pPr>
    </w:p>
    <w:p>
      <w:pPr>
        <w:ind w:left="186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ind w:left="1365"/>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17" w:lineRule="exact"/>
        <w:rPr>
          <w:sz w:val="24"/>
          <w:szCs w:val="24"/>
          <w:color w:val="auto"/>
        </w:rPr>
      </w:pPr>
    </w:p>
    <w:p>
      <w:pPr>
        <w:ind w:left="1645"/>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6"/>
          <w:szCs w:val="16"/>
          <w:b w:val="1"/>
          <w:bCs w:val="1"/>
          <w:color w:val="auto"/>
        </w:rPr>
        <w:t>001-35711</w:t>
      </w:r>
    </w:p>
    <w:p>
      <w:pPr>
        <w:spacing w:after="0" w:line="24"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45-4165414</w:t>
      </w:r>
    </w:p>
    <w:p>
      <w:pPr>
        <w:spacing w:after="0" w:line="24"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color w:val="auto"/>
        </w:rPr>
        <w:t>(IRS Employer</w:t>
      </w:r>
    </w:p>
    <w:p>
      <w:pPr>
        <w:spacing w:after="0" w:line="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27" w:lineRule="exact"/>
        <w:rPr>
          <w:sz w:val="24"/>
          <w:szCs w:val="24"/>
          <w:color w:val="auto"/>
        </w:rPr>
      </w:pPr>
    </w:p>
    <w:p>
      <w:pPr>
        <w:sectPr>
          <w:pgSz w:w="11900" w:h="16838" w:orient="portrait"/>
          <w:cols w:equalWidth="0" w:num="3">
            <w:col w:w="4045" w:space="720"/>
            <w:col w:w="3000" w:space="720"/>
            <w:col w:w="2780"/>
          </w:cols>
          <w:pgMar w:left="315" w:top="783" w:right="31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645 Hamilton Street, Suite 400</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Allentown, PA</w:t>
      </w:r>
    </w:p>
    <w:p>
      <w:pPr>
        <w:spacing w:after="0" w:line="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2820"/>
        <w:spacing w:after="0"/>
        <w:rPr>
          <w:sz w:val="20"/>
          <w:szCs w:val="20"/>
          <w:color w:val="auto"/>
        </w:rPr>
      </w:pPr>
      <w:r>
        <w:rPr>
          <w:rFonts w:ascii="Times New Roman" w:cs="Times New Roman" w:eastAsia="Times New Roman" w:hAnsi="Times New Roman"/>
          <w:sz w:val="16"/>
          <w:szCs w:val="16"/>
          <w:b w:val="1"/>
          <w:bCs w:val="1"/>
          <w:color w:val="auto"/>
        </w:rPr>
        <w:t>18101</w:t>
      </w:r>
    </w:p>
    <w:p>
      <w:pPr>
        <w:spacing w:after="0" w:line="24" w:lineRule="exact"/>
        <w:rPr>
          <w:sz w:val="24"/>
          <w:szCs w:val="24"/>
          <w:color w:val="auto"/>
        </w:rPr>
      </w:pPr>
    </w:p>
    <w:p>
      <w:pPr>
        <w:jc w:val="center"/>
        <w:ind w:right="2820"/>
        <w:spacing w:after="0"/>
        <w:rPr>
          <w:sz w:val="20"/>
          <w:szCs w:val="20"/>
          <w:color w:val="auto"/>
        </w:rPr>
      </w:pPr>
      <w:r>
        <w:rPr>
          <w:rFonts w:ascii="Times New Roman" w:cs="Times New Roman" w:eastAsia="Times New Roman" w:hAnsi="Times New Roman"/>
          <w:sz w:val="15"/>
          <w:szCs w:val="15"/>
          <w:color w:val="auto"/>
        </w:rPr>
        <w:t>(Zip Code)</w:t>
      </w:r>
    </w:p>
    <w:p>
      <w:pPr>
        <w:spacing w:after="0" w:line="200" w:lineRule="exact"/>
        <w:rPr>
          <w:sz w:val="24"/>
          <w:szCs w:val="24"/>
          <w:color w:val="auto"/>
        </w:rPr>
      </w:pPr>
    </w:p>
    <w:p>
      <w:pPr>
        <w:sectPr>
          <w:pgSz w:w="11900" w:h="16838" w:orient="portrait"/>
          <w:cols w:equalWidth="0" w:num="2">
            <w:col w:w="7045" w:space="720"/>
            <w:col w:w="3500"/>
          </w:cols>
          <w:pgMar w:left="315" w:top="783" w:right="319" w:bottom="1440" w:gutter="0" w:footer="0" w:header="0"/>
          <w:type w:val="continuous"/>
        </w:sectPr>
      </w:pPr>
    </w:p>
    <w:p>
      <w:pPr>
        <w:spacing w:after="0" w:line="10" w:lineRule="exact"/>
        <w:rPr>
          <w:sz w:val="24"/>
          <w:szCs w:val="24"/>
          <w:color w:val="auto"/>
        </w:rPr>
      </w:pPr>
    </w:p>
    <w:p>
      <w:pPr>
        <w:ind w:left="3465"/>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(610) 625-8000</w:t>
      </w:r>
    </w:p>
    <w:p>
      <w:pPr>
        <w:spacing w:after="0" w:line="126"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35"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35"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35"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25" w:lineRule="exact"/>
        <w:rPr>
          <w:sz w:val="24"/>
          <w:szCs w:val="24"/>
          <w:color w:val="auto"/>
        </w:rPr>
      </w:pPr>
    </w:p>
    <w:tbl>
      <w:tblPr>
        <w:tblLayout w:type="fixed"/>
        <w:tblInd w:w="5" w:type="dxa"/>
        <w:tblCellMar>
          <w:top w:w="0" w:type="dxa"/>
          <w:left w:w="0" w:type="dxa"/>
          <w:bottom w:w="0" w:type="dxa"/>
          <w:right w:w="0" w:type="dxa"/>
        </w:tblCellMar>
      </w:tblPr>
      <w:tr>
        <w:trPr>
          <w:trHeight w:val="206"/>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59"/>
        </w:trPr>
        <w:tc>
          <w:tcPr>
            <w:tcW w:w="1740" w:type="dxa"/>
            <w:vAlign w:val="bottom"/>
          </w:tcPr>
          <w:p>
            <w:pPr>
              <w:spacing w:after="0"/>
              <w:rPr>
                <w:sz w:val="22"/>
                <w:szCs w:val="22"/>
                <w:color w:val="auto"/>
              </w:rPr>
            </w:pPr>
          </w:p>
        </w:tc>
        <w:tc>
          <w:tcPr>
            <w:tcW w:w="20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184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98"/>
        </w:trPr>
        <w:tc>
          <w:tcPr>
            <w:tcW w:w="1740" w:type="dxa"/>
            <w:vAlign w:val="bottom"/>
          </w:tcPr>
          <w:p>
            <w:pPr>
              <w:spacing w:after="0"/>
              <w:rPr>
                <w:sz w:val="17"/>
                <w:szCs w:val="17"/>
                <w:color w:val="auto"/>
              </w:rPr>
            </w:pPr>
          </w:p>
        </w:tc>
        <w:tc>
          <w:tcPr>
            <w:tcW w:w="204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9"/>
              </w:rPr>
              <w:t>Common Units</w:t>
            </w:r>
          </w:p>
        </w:tc>
        <w:tc>
          <w:tcPr>
            <w:tcW w:w="184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w w:val="97"/>
              </w:rPr>
              <w:t>CAPL</w:t>
            </w:r>
          </w:p>
        </w:tc>
        <w:tc>
          <w:tcPr>
            <w:tcW w:w="388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96" w:lineRule="exact"/>
        <w:rPr>
          <w:sz w:val="24"/>
          <w:szCs w:val="24"/>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225"/>
        <w:spacing w:after="0" w:line="173" w:lineRule="exact"/>
        <w:rPr>
          <w:sz w:val="20"/>
          <w:szCs w:val="20"/>
          <w:color w:val="auto"/>
        </w:rPr>
      </w:pPr>
      <w:r>
        <w:rPr>
          <w:rFonts w:ascii="Times New Roman" w:cs="Times New Roman" w:eastAsia="Times New Roman" w:hAnsi="Times New Roman"/>
          <w:sz w:val="15"/>
          <w:szCs w:val="15"/>
          <w:color w:val="auto"/>
        </w:rPr>
        <w:t>Emerging growth company</w:t>
      </w:r>
      <w:r>
        <w:rPr>
          <w:rFonts w:ascii="Wingdings" w:cs="Wingdings" w:eastAsia="Wingdings" w:hAnsi="Wingdings"/>
          <w:sz w:val="15"/>
          <w:szCs w:val="15"/>
          <w:b w:val="1"/>
          <w:bCs w:val="1"/>
          <w:color w:val="auto"/>
        </w:rPr>
        <w:t></w:t>
      </w:r>
      <w:r>
        <w:rPr>
          <w:rFonts w:ascii="MS PGothic" w:cs="MS PGothic" w:eastAsia="MS PGothic" w:hAnsi="MS PGothic"/>
          <w:sz w:val="15"/>
          <w:szCs w:val="15"/>
          <w:color w:val="auto"/>
        </w:rPr>
        <w:t>☐</w:t>
      </w:r>
    </w:p>
    <w:p>
      <w:pPr>
        <w:spacing w:after="0" w:line="181" w:lineRule="exact"/>
        <w:rPr>
          <w:sz w:val="24"/>
          <w:szCs w:val="24"/>
          <w:color w:val="auto"/>
        </w:rPr>
      </w:pPr>
    </w:p>
    <w:p>
      <w:pPr>
        <w:ind w:left="5" w:right="20"/>
        <w:spacing w:after="0" w:line="210"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6"/>
          <w:szCs w:val="16"/>
          <w:b w:val="1"/>
          <w:bCs w:val="1"/>
          <w:color w:val="auto"/>
        </w:rPr>
        <w: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393065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783"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November 4, 2026, CrossAmerica Partners LP (“CrossAmerica” or the “Partnership”) issued a press release announcing its financial results for the quarter ended September 30, 2026. A copy of the press release is furnished as Exhibit 99.1 to this Current Report on Form 8-K.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Furnished herewith as Exhibit 99.2 are slides that senior management of CrossAmerica will utilize in CrossAmerica’s third quarter 2026 earnings call. The slides are available on the Webcasts &amp; Presentations page of CrossAmerica’s website at www.crossamericapartners.com.</w:t>
      </w:r>
    </w:p>
    <w:p>
      <w:pPr>
        <w:spacing w:after="0" w:line="1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information in Item 2.02, Item 7.01 and Exhibits 99.1 and 99.2 of Item 9.01 of this report, according to general instruction B.2., shall not be deemed “filed” for the purposes of Section 18 of the Securities and Exchange Act of 1934, as amended, or otherwise subject to the liabilities of that Section, and shall not be incorporated by reference into any registration statement pursuant to the Securities Act of 1933, as amended. By furnishing this information, the Partnership makes no admission as to the materiality of such information that the Partnership chooses to disclose solely because of Regulation FD.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Safe Harbor Statement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Statements contained in the exhibits to this report that state the Partnership’s or its management’s expectations or predictions of the future are forward-looking statements. It is important to note that the Partnership’s actual results could differ materially from those projected in such forward-looking statements. Factors that could affect those results include those mentioned in the Partnership’s Annual Report on Form 10-K for the year ended December 31, 2025 and in subsequent filings that the Partnership has filed with the Securities and Exchange Commission (the “SEC”). The Partnership undertakes no duty or obligation to publicly update or revise the information contained in this report, although the Partnership may do so from time to time as management believes is warranted. Any such updating may be made through the filing of other reports or documents with the SEC, through press releases or through other public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 Exhibits</w:t>
            </w: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8"/>
        </w:trPr>
        <w:tc>
          <w:tcPr>
            <w:tcW w:w="6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2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640" w:type="dxa"/>
            <w:vAlign w:val="bottom"/>
          </w:tcPr>
          <w:p>
            <w:pPr>
              <w:spacing w:after="0"/>
              <w:rPr>
                <w:sz w:val="12"/>
                <w:szCs w:val="12"/>
                <w:color w:val="auto"/>
              </w:rPr>
            </w:pPr>
          </w:p>
        </w:tc>
        <w:tc>
          <w:tcPr>
            <w:tcW w:w="1420" w:type="dxa"/>
            <w:vAlign w:val="bottom"/>
            <w:tcBorders>
              <w:top w:val="single" w:sz="8" w:color="auto"/>
            </w:tcBorders>
          </w:tcPr>
          <w:p>
            <w:pPr>
              <w:ind w:left="100"/>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720" w:type="dxa"/>
            <w:vAlign w:val="bottom"/>
            <w:tcBorders>
              <w:top w:val="single" w:sz="8" w:color="auto"/>
              <w:bottom w:val="single" w:sz="8" w:color="0000FF"/>
            </w:tcBorders>
            <w:gridSpan w:val="3"/>
          </w:tcPr>
          <w:p>
            <w:pPr>
              <w:spacing w:after="0" w:line="145" w:lineRule="exact"/>
              <w:rPr>
                <w:sz w:val="20"/>
                <w:szCs w:val="20"/>
                <w:color w:val="auto"/>
              </w:rPr>
            </w:pPr>
            <w:r>
              <w:rPr>
                <w:rFonts w:ascii="Times New Roman" w:cs="Times New Roman" w:eastAsia="Times New Roman" w:hAnsi="Times New Roman"/>
                <w:sz w:val="16"/>
                <w:szCs w:val="16"/>
                <w:color w:val="0000FF"/>
                <w:w w:val="98"/>
              </w:rPr>
              <w:t>Press Release dated November 4, 2026 regarding CrossAmerica's earnings</w:t>
            </w:r>
          </w:p>
        </w:tc>
        <w:tc>
          <w:tcPr>
            <w:tcW w:w="4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2060" w:type="dxa"/>
            <w:vAlign w:val="bottom"/>
            <w:gridSpan w:val="2"/>
          </w:tcPr>
          <w:p>
            <w:pPr>
              <w:ind w:left="740"/>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28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8"/>
              </w:rPr>
              <w:t>Investor Presentation Slides of CrossAmerica</w:t>
            </w:r>
          </w:p>
        </w:tc>
        <w:tc>
          <w:tcPr>
            <w:tcW w:w="20" w:type="dxa"/>
            <w:vAlign w:val="bottom"/>
            <w:tcBorders>
              <w:bottom w:val="single" w:sz="8" w:color="0000EE"/>
            </w:tcBorders>
          </w:tcPr>
          <w:p>
            <w:pPr>
              <w:spacing w:after="0"/>
              <w:rPr>
                <w:sz w:val="14"/>
                <w:szCs w:val="14"/>
                <w:color w:val="auto"/>
              </w:rPr>
            </w:pPr>
          </w:p>
        </w:tc>
        <w:tc>
          <w:tcPr>
            <w:tcW w:w="6300" w:type="dxa"/>
            <w:vAlign w:val="bottom"/>
            <w:gridSpan w:val="3"/>
          </w:tcPr>
          <w:p>
            <w:pPr>
              <w:spacing w:after="0"/>
              <w:rPr>
                <w:sz w:val="14"/>
                <w:szCs w:val="14"/>
                <w:color w:val="auto"/>
              </w:rPr>
            </w:pPr>
          </w:p>
        </w:tc>
      </w:tr>
      <w:tr>
        <w:trPr>
          <w:trHeight w:val="205"/>
        </w:trPr>
        <w:tc>
          <w:tcPr>
            <w:tcW w:w="2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104</w:t>
            </w:r>
          </w:p>
        </w:tc>
        <w:tc>
          <w:tcPr>
            <w:tcW w:w="92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067"/>
        </w:trPr>
        <w:tc>
          <w:tcPr>
            <w:tcW w:w="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9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2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CrossAmerica Partners LP</w:t>
      </w:r>
    </w:p>
    <w:p>
      <w:pPr>
        <w:spacing w:after="0" w:line="24" w:lineRule="exact"/>
        <w:rPr>
          <w:sz w:val="20"/>
          <w:szCs w:val="20"/>
          <w:color w:val="auto"/>
        </w:rPr>
      </w:pPr>
    </w:p>
    <w:p>
      <w:pPr>
        <w:ind w:left="5620"/>
        <w:spacing w:after="0"/>
        <w:tabs>
          <w:tab w:leader="none" w:pos="61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CrossAmerica GP LLC</w:t>
      </w:r>
    </w:p>
    <w:p>
      <w:pPr>
        <w:spacing w:after="0" w:line="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77" w:lineRule="exact"/>
        <w:rPr>
          <w:sz w:val="20"/>
          <w:szCs w:val="20"/>
          <w:color w:val="auto"/>
        </w:rPr>
      </w:pPr>
    </w:p>
    <w:tbl>
      <w:tblPr>
        <w:tblLayout w:type="fixed"/>
        <w:tblInd w:w="5620" w:type="dxa"/>
        <w:tblCellMar>
          <w:top w:w="0" w:type="dxa"/>
          <w:left w:w="0" w:type="dxa"/>
          <w:bottom w:w="0" w:type="dxa"/>
          <w:right w:w="0" w:type="dxa"/>
        </w:tblCellMar>
      </w:tblPr>
      <w:tr>
        <w:trPr>
          <w:trHeight w:val="20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Keenan D. Lynch</w:t>
            </w:r>
          </w:p>
        </w:tc>
      </w:tr>
      <w:tr>
        <w:trPr>
          <w:trHeight w:val="165"/>
        </w:trPr>
        <w:tc>
          <w:tcPr>
            <w:tcW w:w="520" w:type="dxa"/>
            <w:vAlign w:val="bottom"/>
          </w:tcPr>
          <w:p>
            <w:pPr>
              <w:spacing w:after="0"/>
              <w:rPr>
                <w:sz w:val="14"/>
                <w:szCs w:val="14"/>
                <w:color w:val="auto"/>
              </w:rPr>
            </w:pPr>
          </w:p>
        </w:tc>
        <w:tc>
          <w:tcPr>
            <w:tcW w:w="62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38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Keenan D. Lynch</w:t>
            </w:r>
          </w:p>
        </w:tc>
      </w:tr>
      <w:tr>
        <w:trPr>
          <w:trHeight w:val="206"/>
        </w:trPr>
        <w:tc>
          <w:tcPr>
            <w:tcW w:w="52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Counsel and Chief Administrative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489585</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15240</wp:posOffset>
            </wp:positionV>
            <wp:extent cx="1224280" cy="953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4280" cy="95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CrossAmerica Partners LP Reports Third Quarter 2026 Results</w:t>
      </w:r>
    </w:p>
    <w:p>
      <w:pPr>
        <w:spacing w:after="0" w:line="194" w:lineRule="exact"/>
        <w:rPr>
          <w:sz w:val="20"/>
          <w:szCs w:val="20"/>
          <w:color w:val="auto"/>
        </w:rPr>
      </w:pPr>
    </w:p>
    <w:p>
      <w:pPr>
        <w:ind w:left="1120" w:hanging="375"/>
        <w:spacing w:after="0" w:line="276" w:lineRule="auto"/>
        <w:tabs>
          <w:tab w:leader="none" w:pos="11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Third Quarter of 2026 Net Income of $8.8 million, Adjusted EBITDA of $38.7 million and Distributable Cash Flow of $21.8 million compared to Net Income of $13.6 million, Adjusted EBITDA of $41.3 million and Distributable Cash Flow of $27.8 million for the Third Quarter of 2025</w:t>
      </w:r>
    </w:p>
    <w:p>
      <w:pPr>
        <w:spacing w:after="0" w:line="144" w:lineRule="exact"/>
        <w:rPr>
          <w:rFonts w:ascii="Times New Roman" w:cs="Times New Roman" w:eastAsia="Times New Roman" w:hAnsi="Times New Roman"/>
          <w:sz w:val="16"/>
          <w:szCs w:val="16"/>
          <w:color w:val="auto"/>
        </w:rPr>
      </w:pPr>
    </w:p>
    <w:p>
      <w:pPr>
        <w:ind w:left="1120" w:hanging="375"/>
        <w:spacing w:after="0" w:line="276" w:lineRule="auto"/>
        <w:tabs>
          <w:tab w:leader="none" w:pos="11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Third Quarter of 2026 Gross Profit for the Retail Segment of $78.0 million compared to $80.0 million of Gross Profit for the Third Quarter of 2025 and Third Quarter of 2026 Gross Profit for the Wholesale Segment of $23.1 million compared to $24.8 million of Gross Profit for the Third Quarter of 2025</w:t>
      </w:r>
    </w:p>
    <w:p>
      <w:pPr>
        <w:spacing w:after="0" w:line="144" w:lineRule="exact"/>
        <w:rPr>
          <w:rFonts w:ascii="Times New Roman" w:cs="Times New Roman" w:eastAsia="Times New Roman" w:hAnsi="Times New Roman"/>
          <w:sz w:val="16"/>
          <w:szCs w:val="16"/>
          <w:color w:val="auto"/>
        </w:rPr>
      </w:pPr>
    </w:p>
    <w:p>
      <w:pPr>
        <w:ind w:left="1120" w:hanging="375"/>
        <w:spacing w:after="0"/>
        <w:tabs>
          <w:tab w:leader="none" w:pos="11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Leverage, as defined in the CAPL Credit Facility, was 3.72 times as of September 30, 2026, compared to 3.56 times as of September 30, 2025</w:t>
      </w:r>
    </w:p>
    <w:p>
      <w:pPr>
        <w:spacing w:after="0" w:line="194" w:lineRule="exact"/>
        <w:rPr>
          <w:rFonts w:ascii="Times New Roman" w:cs="Times New Roman" w:eastAsia="Times New Roman" w:hAnsi="Times New Roman"/>
          <w:sz w:val="16"/>
          <w:szCs w:val="16"/>
          <w:color w:val="auto"/>
        </w:rPr>
      </w:pPr>
    </w:p>
    <w:p>
      <w:pPr>
        <w:ind w:left="1120" w:hanging="375"/>
        <w:spacing w:after="0" w:line="276" w:lineRule="auto"/>
        <w:tabs>
          <w:tab w:leader="none" w:pos="11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Coverage Ratio for the trailing twelve months ended September 30, 2026, was 1.32 times compared to 1.00 times for the comparable period of 2025</w:t>
      </w:r>
    </w:p>
    <w:p>
      <w:pPr>
        <w:spacing w:after="0" w:line="144" w:lineRule="exact"/>
        <w:rPr>
          <w:rFonts w:ascii="Times New Roman" w:cs="Times New Roman" w:eastAsia="Times New Roman" w:hAnsi="Times New Roman"/>
          <w:sz w:val="16"/>
          <w:szCs w:val="16"/>
          <w:color w:val="auto"/>
        </w:rPr>
      </w:pPr>
    </w:p>
    <w:p>
      <w:pPr>
        <w:ind w:left="1120" w:right="20" w:hanging="375"/>
        <w:spacing w:after="0" w:line="276" w:lineRule="auto"/>
        <w:tabs>
          <w:tab w:leader="none" w:pos="11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CrossAmerica's General Partner declared a quarterly distribution of $0.5250 per limited partner unit attributable to the Third Quarter of 2026</w:t>
      </w:r>
    </w:p>
    <w:p>
      <w:pPr>
        <w:spacing w:after="0" w:line="33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Allentown, PA November 4, 2026 – CrossAmerica Partners LP (NYSE: CAPL) (“CrossAmerica” or the “Partnership”), a leading wholesale fuels distributor, convenience store operator, and owner and lessor of real estate used in the retail distribution of motor fuels, today reported financial results for the third quarter ended September 30, 2026.</w:t>
      </w:r>
    </w:p>
    <w:p>
      <w:pPr>
        <w:spacing w:after="0" w:line="1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“While higher fuel prices pressured volumes in the third quarter, our team continued to deliver on the things we can control,” said Maura Topper, CEO and President of CrossAmerica. “Our merchandise business again delivered, with continued growth in merchandise margin percentage reflecting the strength of our convenience store operations and programs, and our focus on cost management drove lower operating expenses across the business. These results, together with solid fuel margins, keep us materially ahead of last year through the first nine months in both Adjusted EBITDA and Distributable Cash Flow.”</w:t>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Third Quarter Results</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180" w:type="dxa"/>
            <w:vAlign w:val="bottom"/>
          </w:tcPr>
          <w:p>
            <w:pPr>
              <w:spacing w:after="0"/>
              <w:rPr>
                <w:sz w:val="16"/>
                <w:szCs w:val="16"/>
                <w:color w:val="auto"/>
              </w:rPr>
            </w:pPr>
          </w:p>
        </w:tc>
      </w:tr>
      <w:tr>
        <w:trPr>
          <w:trHeight w:val="347"/>
        </w:trPr>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Consolidated Results</w:t>
            </w:r>
          </w:p>
        </w:tc>
        <w:tc>
          <w:tcPr>
            <w:tcW w:w="3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15"/>
        </w:trPr>
        <w:tc>
          <w:tcPr>
            <w:tcW w:w="150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r>
      <w:tr>
        <w:trPr>
          <w:trHeight w:val="181"/>
        </w:trPr>
        <w:tc>
          <w:tcPr>
            <w:tcW w:w="4860" w:type="dxa"/>
            <w:vAlign w:val="bottom"/>
            <w:tcBorders>
              <w:top w:val="single" w:sz="8" w:color="auto"/>
              <w:left w:val="single" w:sz="8" w:color="auto"/>
              <w:bottom w:val="single" w:sz="8" w:color="auto"/>
              <w:right w:val="single" w:sz="8" w:color="auto"/>
            </w:tcBorders>
            <w:gridSpan w:val="2"/>
            <w:shd w:val="clear" w:color="auto" w:fill="C6D9F1"/>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Key Operating Metrics</w:t>
            </w:r>
          </w:p>
        </w:tc>
        <w:tc>
          <w:tcPr>
            <w:tcW w:w="1100" w:type="dxa"/>
            <w:vAlign w:val="bottom"/>
            <w:tcBorders>
              <w:top w:val="single" w:sz="8" w:color="C6D9F1"/>
              <w:bottom w:val="single" w:sz="8" w:color="auto"/>
              <w:right w:val="single" w:sz="8" w:color="auto"/>
            </w:tcBorders>
            <w:shd w:val="clear" w:color="auto" w:fill="C6D9F1"/>
          </w:tcPr>
          <w:p>
            <w:pPr>
              <w:jc w:val="right"/>
              <w:ind w:right="221"/>
              <w:spacing w:after="0" w:line="161" w:lineRule="exact"/>
              <w:rPr>
                <w:sz w:val="20"/>
                <w:szCs w:val="20"/>
                <w:color w:val="auto"/>
              </w:rPr>
            </w:pPr>
            <w:r>
              <w:rPr>
                <w:rFonts w:ascii="Times New Roman" w:cs="Times New Roman" w:eastAsia="Times New Roman" w:hAnsi="Times New Roman"/>
                <w:sz w:val="16"/>
                <w:szCs w:val="16"/>
                <w:b w:val="1"/>
                <w:bCs w:val="1"/>
                <w:color w:val="auto"/>
              </w:rPr>
              <w:t>Q3 2026</w:t>
            </w:r>
          </w:p>
        </w:tc>
        <w:tc>
          <w:tcPr>
            <w:tcW w:w="1120" w:type="dxa"/>
            <w:vAlign w:val="bottom"/>
            <w:tcBorders>
              <w:top w:val="single" w:sz="8" w:color="C6D9F1"/>
              <w:bottom w:val="single" w:sz="8" w:color="auto"/>
              <w:right w:val="single" w:sz="8" w:color="auto"/>
            </w:tcBorders>
            <w:shd w:val="clear" w:color="auto" w:fill="C6D9F1"/>
          </w:tcPr>
          <w:p>
            <w:pPr>
              <w:jc w:val="right"/>
              <w:ind w:right="221"/>
              <w:spacing w:after="0" w:line="161" w:lineRule="exact"/>
              <w:rPr>
                <w:sz w:val="20"/>
                <w:szCs w:val="20"/>
                <w:color w:val="auto"/>
              </w:rPr>
            </w:pPr>
            <w:r>
              <w:rPr>
                <w:rFonts w:ascii="Times New Roman" w:cs="Times New Roman" w:eastAsia="Times New Roman" w:hAnsi="Times New Roman"/>
                <w:sz w:val="16"/>
                <w:szCs w:val="16"/>
                <w:b w:val="1"/>
                <w:bCs w:val="1"/>
                <w:color w:val="auto"/>
              </w:rPr>
              <w:t>Q3 2025</w:t>
            </w:r>
          </w:p>
        </w:tc>
        <w:tc>
          <w:tcPr>
            <w:tcW w:w="4180" w:type="dxa"/>
            <w:vAlign w:val="bottom"/>
          </w:tcPr>
          <w:p>
            <w:pPr>
              <w:spacing w:after="0"/>
              <w:rPr>
                <w:sz w:val="15"/>
                <w:szCs w:val="15"/>
                <w:color w:val="auto"/>
              </w:rPr>
            </w:pPr>
          </w:p>
        </w:tc>
      </w:tr>
      <w:tr>
        <w:trPr>
          <w:trHeight w:val="165"/>
        </w:trPr>
        <w:tc>
          <w:tcPr>
            <w:tcW w:w="4860" w:type="dxa"/>
            <w:vAlign w:val="bottom"/>
            <w:tcBorders>
              <w:left w:val="single" w:sz="8" w:color="auto"/>
              <w:bottom w:val="single" w:sz="8" w:color="auto"/>
              <w:right w:val="single" w:sz="8" w:color="auto"/>
            </w:tcBorders>
            <w:gridSpan w:val="2"/>
          </w:tcPr>
          <w:p>
            <w:pPr>
              <w:ind w:left="100"/>
              <w:spacing w:after="0" w:line="165" w:lineRule="exact"/>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right w:val="single" w:sz="8" w:color="auto"/>
            </w:tcBorders>
          </w:tcPr>
          <w:p>
            <w:pPr>
              <w:jc w:val="right"/>
              <w:ind w:right="21"/>
              <w:spacing w:after="0" w:line="165" w:lineRule="exact"/>
              <w:rPr>
                <w:sz w:val="20"/>
                <w:szCs w:val="20"/>
                <w:color w:val="auto"/>
              </w:rPr>
            </w:pPr>
            <w:r>
              <w:rPr>
                <w:rFonts w:ascii="Times New Roman" w:cs="Times New Roman" w:eastAsia="Times New Roman" w:hAnsi="Times New Roman"/>
                <w:sz w:val="16"/>
                <w:szCs w:val="16"/>
                <w:color w:val="auto"/>
              </w:rPr>
              <w:t>$8.8M</w:t>
            </w:r>
          </w:p>
        </w:tc>
        <w:tc>
          <w:tcPr>
            <w:tcW w:w="1120" w:type="dxa"/>
            <w:vAlign w:val="bottom"/>
            <w:tcBorders>
              <w:bottom w:val="single" w:sz="8" w:color="auto"/>
              <w:right w:val="single" w:sz="8" w:color="auto"/>
            </w:tcBorders>
          </w:tcPr>
          <w:p>
            <w:pPr>
              <w:jc w:val="right"/>
              <w:ind w:right="61"/>
              <w:spacing w:after="0" w:line="165" w:lineRule="exact"/>
              <w:rPr>
                <w:sz w:val="20"/>
                <w:szCs w:val="20"/>
                <w:color w:val="auto"/>
              </w:rPr>
            </w:pPr>
            <w:r>
              <w:rPr>
                <w:rFonts w:ascii="Times New Roman" w:cs="Times New Roman" w:eastAsia="Times New Roman" w:hAnsi="Times New Roman"/>
                <w:sz w:val="16"/>
                <w:szCs w:val="16"/>
                <w:color w:val="auto"/>
              </w:rPr>
              <w:t>$13.6M</w:t>
            </w:r>
          </w:p>
        </w:tc>
        <w:tc>
          <w:tcPr>
            <w:tcW w:w="4180" w:type="dxa"/>
            <w:vAlign w:val="bottom"/>
          </w:tcPr>
          <w:p>
            <w:pPr>
              <w:spacing w:after="0"/>
              <w:rPr>
                <w:sz w:val="14"/>
                <w:szCs w:val="14"/>
                <w:color w:val="auto"/>
              </w:rPr>
            </w:pPr>
          </w:p>
        </w:tc>
      </w:tr>
      <w:tr>
        <w:trPr>
          <w:trHeight w:val="181"/>
        </w:trPr>
        <w:tc>
          <w:tcPr>
            <w:tcW w:w="4860" w:type="dxa"/>
            <w:vAlign w:val="bottom"/>
            <w:tcBorders>
              <w:left w:val="single" w:sz="8" w:color="auto"/>
              <w:bottom w:val="single" w:sz="8" w:color="auto"/>
              <w:right w:val="single" w:sz="8" w:color="auto"/>
            </w:tcBorders>
            <w:gridSpan w:val="2"/>
            <w:shd w:val="clear" w:color="auto" w:fill="C6D9F1"/>
          </w:tcPr>
          <w:p>
            <w:pPr>
              <w:ind w:left="100"/>
              <w:spacing w:after="0" w:line="181" w:lineRule="exact"/>
              <w:rPr>
                <w:sz w:val="20"/>
                <w:szCs w:val="20"/>
                <w:color w:val="auto"/>
              </w:rPr>
            </w:pPr>
            <w:r>
              <w:rPr>
                <w:rFonts w:ascii="Times New Roman" w:cs="Times New Roman" w:eastAsia="Times New Roman" w:hAnsi="Times New Roman"/>
                <w:sz w:val="16"/>
                <w:szCs w:val="16"/>
                <w:color w:val="auto"/>
              </w:rPr>
              <w:t>Adjusted EBITDA</w:t>
            </w:r>
          </w:p>
        </w:tc>
        <w:tc>
          <w:tcPr>
            <w:tcW w:w="110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$38.7M</w:t>
            </w:r>
          </w:p>
        </w:tc>
        <w:tc>
          <w:tcPr>
            <w:tcW w:w="112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$41.3M</w:t>
            </w:r>
          </w:p>
        </w:tc>
        <w:tc>
          <w:tcPr>
            <w:tcW w:w="4180" w:type="dxa"/>
            <w:vAlign w:val="bottom"/>
          </w:tcPr>
          <w:p>
            <w:pPr>
              <w:spacing w:after="0"/>
              <w:rPr>
                <w:sz w:val="15"/>
                <w:szCs w:val="15"/>
                <w:color w:val="auto"/>
              </w:rPr>
            </w:pPr>
          </w:p>
        </w:tc>
      </w:tr>
      <w:tr>
        <w:trPr>
          <w:trHeight w:val="181"/>
        </w:trPr>
        <w:tc>
          <w:tcPr>
            <w:tcW w:w="4860" w:type="dxa"/>
            <w:vAlign w:val="bottom"/>
            <w:tcBorders>
              <w:left w:val="single" w:sz="8" w:color="auto"/>
              <w:bottom w:val="single" w:sz="8" w:color="auto"/>
              <w:right w:val="single" w:sz="8" w:color="auto"/>
            </w:tcBorders>
            <w:gridSpan w:val="2"/>
          </w:tcPr>
          <w:p>
            <w:pPr>
              <w:ind w:left="100"/>
              <w:spacing w:after="0" w:line="181" w:lineRule="exact"/>
              <w:rPr>
                <w:sz w:val="20"/>
                <w:szCs w:val="20"/>
                <w:color w:val="auto"/>
              </w:rPr>
            </w:pPr>
            <w:r>
              <w:rPr>
                <w:rFonts w:ascii="Times New Roman" w:cs="Times New Roman" w:eastAsia="Times New Roman" w:hAnsi="Times New Roman"/>
                <w:sz w:val="16"/>
                <w:szCs w:val="16"/>
                <w:color w:val="auto"/>
              </w:rPr>
              <w:t>Distributable Cash Flow</w:t>
            </w:r>
          </w:p>
        </w:tc>
        <w:tc>
          <w:tcPr>
            <w:tcW w:w="110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$21.8M</w:t>
            </w:r>
          </w:p>
        </w:tc>
        <w:tc>
          <w:tcPr>
            <w:tcW w:w="112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$27.8M</w:t>
            </w:r>
          </w:p>
        </w:tc>
        <w:tc>
          <w:tcPr>
            <w:tcW w:w="4180" w:type="dxa"/>
            <w:vAlign w:val="bottom"/>
          </w:tcPr>
          <w:p>
            <w:pPr>
              <w:spacing w:after="0"/>
              <w:rPr>
                <w:sz w:val="15"/>
                <w:szCs w:val="15"/>
                <w:color w:val="auto"/>
              </w:rPr>
            </w:pPr>
          </w:p>
        </w:tc>
      </w:tr>
      <w:tr>
        <w:trPr>
          <w:trHeight w:val="181"/>
        </w:trPr>
        <w:tc>
          <w:tcPr>
            <w:tcW w:w="4860" w:type="dxa"/>
            <w:vAlign w:val="bottom"/>
            <w:tcBorders>
              <w:left w:val="single" w:sz="8" w:color="auto"/>
              <w:bottom w:val="single" w:sz="8" w:color="auto"/>
              <w:right w:val="single" w:sz="8" w:color="auto"/>
            </w:tcBorders>
            <w:gridSpan w:val="2"/>
            <w:shd w:val="clear" w:color="auto" w:fill="C6D9F1"/>
          </w:tcPr>
          <w:p>
            <w:pPr>
              <w:ind w:left="100"/>
              <w:spacing w:after="0" w:line="181" w:lineRule="exact"/>
              <w:rPr>
                <w:sz w:val="20"/>
                <w:szCs w:val="20"/>
                <w:color w:val="auto"/>
              </w:rPr>
            </w:pPr>
            <w:r>
              <w:rPr>
                <w:rFonts w:ascii="Times New Roman" w:cs="Times New Roman" w:eastAsia="Times New Roman" w:hAnsi="Times New Roman"/>
                <w:sz w:val="16"/>
                <w:szCs w:val="16"/>
                <w:color w:val="auto"/>
              </w:rPr>
              <w:t>Distribution Coverage Ratio: Current Quarter</w:t>
            </w:r>
          </w:p>
        </w:tc>
        <w:tc>
          <w:tcPr>
            <w:tcW w:w="110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1.09x</w:t>
            </w:r>
          </w:p>
        </w:tc>
        <w:tc>
          <w:tcPr>
            <w:tcW w:w="112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1.39x</w:t>
            </w:r>
          </w:p>
        </w:tc>
        <w:tc>
          <w:tcPr>
            <w:tcW w:w="4180" w:type="dxa"/>
            <w:vAlign w:val="bottom"/>
          </w:tcPr>
          <w:p>
            <w:pPr>
              <w:spacing w:after="0"/>
              <w:rPr>
                <w:sz w:val="15"/>
                <w:szCs w:val="15"/>
                <w:color w:val="auto"/>
              </w:rPr>
            </w:pPr>
          </w:p>
        </w:tc>
      </w:tr>
      <w:tr>
        <w:trPr>
          <w:trHeight w:val="181"/>
        </w:trPr>
        <w:tc>
          <w:tcPr>
            <w:tcW w:w="4860" w:type="dxa"/>
            <w:vAlign w:val="bottom"/>
            <w:tcBorders>
              <w:left w:val="single" w:sz="8" w:color="auto"/>
              <w:bottom w:val="single" w:sz="8" w:color="auto"/>
              <w:right w:val="single" w:sz="8" w:color="auto"/>
            </w:tcBorders>
            <w:gridSpan w:val="2"/>
          </w:tcPr>
          <w:p>
            <w:pPr>
              <w:ind w:left="100"/>
              <w:spacing w:after="0" w:line="181" w:lineRule="exact"/>
              <w:rPr>
                <w:sz w:val="20"/>
                <w:szCs w:val="20"/>
                <w:color w:val="auto"/>
              </w:rPr>
            </w:pPr>
            <w:r>
              <w:rPr>
                <w:rFonts w:ascii="Times New Roman" w:cs="Times New Roman" w:eastAsia="Times New Roman" w:hAnsi="Times New Roman"/>
                <w:sz w:val="16"/>
                <w:szCs w:val="16"/>
                <w:color w:val="auto"/>
              </w:rPr>
              <w:t>Distribution Coverage Ratio: Trailing 12 Months</w:t>
            </w:r>
          </w:p>
        </w:tc>
        <w:tc>
          <w:tcPr>
            <w:tcW w:w="110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1.32x</w:t>
            </w:r>
          </w:p>
        </w:tc>
        <w:tc>
          <w:tcPr>
            <w:tcW w:w="112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1.00x</w:t>
            </w:r>
          </w:p>
        </w:tc>
        <w:tc>
          <w:tcPr>
            <w:tcW w:w="4180" w:type="dxa"/>
            <w:vAlign w:val="bottom"/>
          </w:tcPr>
          <w:p>
            <w:pPr>
              <w:spacing w:after="0"/>
              <w:rPr>
                <w:sz w:val="15"/>
                <w:szCs w:val="15"/>
                <w:color w:val="auto"/>
              </w:rPr>
            </w:pPr>
          </w:p>
        </w:tc>
      </w:tr>
      <w:tr>
        <w:trPr>
          <w:trHeight w:val="560"/>
        </w:trPr>
        <w:tc>
          <w:tcPr>
            <w:tcW w:w="15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w:t>
            </w:r>
          </w:p>
        </w:tc>
        <w:tc>
          <w:tcPr>
            <w:tcW w:w="11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54"/>
        </w:trPr>
        <w:tc>
          <w:tcPr>
            <w:tcW w:w="15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4" w:name="page5"/>
    <w:bookmarkEnd w:id="4"/>
    <w:p>
      <w:pPr>
        <w:ind w:right="20"/>
        <w:spacing w:after="0" w:line="254" w:lineRule="auto"/>
        <w:rPr>
          <w:sz w:val="20"/>
          <w:szCs w:val="20"/>
          <w:color w:val="auto"/>
        </w:rPr>
      </w:pPr>
      <w:r>
        <w:rPr>
          <w:rFonts w:ascii="Times New Roman" w:cs="Times New Roman" w:eastAsia="Times New Roman" w:hAnsi="Times New Roman"/>
          <w:sz w:val="16"/>
          <w:szCs w:val="16"/>
          <w:color w:val="auto"/>
        </w:rPr>
        <w:t>CrossAmerica reported declines in Net Income, Adjusted EBITDA, Distributable Cash Flow and Distribution Coverage for the third quarter of 2026 compared to the third quarter of 2025. The decrease in Adjusted EBITDA was primarily driven by a decline in motor fuel volume in both the retail and wholesale segments, partially offset by an increase in merchandise gross profit in the retail segment and an overall decline in operating expenses. The decline in Net Income was primarily driven by the decrease in Adjusted EBITDA in addition to lower net gains in connection with CrossAmerica's ongoing real estate optimization effort with $7.4 million in net gains for the third quarter of 2025 compared to $2.4 million in net gains for the third quarter of 2026.</w:t>
      </w:r>
    </w:p>
    <w:p>
      <w:pPr>
        <w:spacing w:after="0" w:line="162"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The decrease in Distributable Cash Flow and Distribution Coverage for the third quarter of 2026 was primarily driven by the decline in Adjusted EBITDA noted above in addition to increases in sustaining capital expenditures and current income tax expense, partially offset by lower cash interest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Retail Segment</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5"/>
        </w:trPr>
        <w:tc>
          <w:tcPr>
            <w:tcW w:w="40" w:type="dxa"/>
            <w:vAlign w:val="bottom"/>
            <w:tcBorders>
              <w:bottom w:val="single" w:sz="8" w:color="auto"/>
            </w:tcBorders>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r>
      <w:tr>
        <w:trPr>
          <w:trHeight w:val="181"/>
        </w:trPr>
        <w:tc>
          <w:tcPr>
            <w:tcW w:w="40" w:type="dxa"/>
            <w:vAlign w:val="bottom"/>
            <w:tcBorders>
              <w:top w:val="single" w:sz="8" w:color="auto"/>
              <w:bottom w:val="single" w:sz="8" w:color="auto"/>
              <w:right w:val="single" w:sz="8" w:color="auto"/>
            </w:tcBorders>
            <w:shd w:val="clear" w:color="auto" w:fill="000000"/>
          </w:tcPr>
          <w:p>
            <w:pPr>
              <w:spacing w:after="0"/>
              <w:rPr>
                <w:sz w:val="15"/>
                <w:szCs w:val="15"/>
                <w:color w:val="auto"/>
              </w:rPr>
            </w:pPr>
          </w:p>
        </w:tc>
        <w:tc>
          <w:tcPr>
            <w:tcW w:w="4820" w:type="dxa"/>
            <w:vAlign w:val="bottom"/>
            <w:tcBorders>
              <w:top w:val="single" w:sz="8" w:color="auto"/>
              <w:bottom w:val="single" w:sz="8" w:color="auto"/>
              <w:right w:val="single" w:sz="8" w:color="auto"/>
            </w:tcBorders>
            <w:shd w:val="clear" w:color="auto" w:fill="C6D9F1"/>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Key Operating Metrics</w:t>
            </w:r>
          </w:p>
        </w:tc>
        <w:tc>
          <w:tcPr>
            <w:tcW w:w="1220" w:type="dxa"/>
            <w:vAlign w:val="bottom"/>
            <w:tcBorders>
              <w:top w:val="single" w:sz="8" w:color="C6D9F1"/>
              <w:bottom w:val="single" w:sz="8" w:color="auto"/>
              <w:right w:val="single" w:sz="8" w:color="auto"/>
            </w:tcBorders>
            <w:shd w:val="clear" w:color="auto" w:fill="C6D9F1"/>
          </w:tcPr>
          <w:p>
            <w:pPr>
              <w:jc w:val="right"/>
              <w:ind w:right="281"/>
              <w:spacing w:after="0" w:line="161" w:lineRule="exact"/>
              <w:rPr>
                <w:sz w:val="20"/>
                <w:szCs w:val="20"/>
                <w:color w:val="auto"/>
              </w:rPr>
            </w:pPr>
            <w:r>
              <w:rPr>
                <w:rFonts w:ascii="Times New Roman" w:cs="Times New Roman" w:eastAsia="Times New Roman" w:hAnsi="Times New Roman"/>
                <w:sz w:val="16"/>
                <w:szCs w:val="16"/>
                <w:b w:val="1"/>
                <w:bCs w:val="1"/>
                <w:color w:val="auto"/>
              </w:rPr>
              <w:t>Q3 2026</w:t>
            </w:r>
          </w:p>
        </w:tc>
        <w:tc>
          <w:tcPr>
            <w:tcW w:w="1240" w:type="dxa"/>
            <w:vAlign w:val="bottom"/>
            <w:tcBorders>
              <w:top w:val="single" w:sz="8" w:color="C6D9F1"/>
              <w:bottom w:val="single" w:sz="8" w:color="auto"/>
              <w:right w:val="single" w:sz="8" w:color="auto"/>
            </w:tcBorders>
            <w:shd w:val="clear" w:color="auto" w:fill="C6D9F1"/>
          </w:tcPr>
          <w:p>
            <w:pPr>
              <w:jc w:val="right"/>
              <w:ind w:right="281"/>
              <w:spacing w:after="0" w:line="161" w:lineRule="exact"/>
              <w:rPr>
                <w:sz w:val="20"/>
                <w:szCs w:val="20"/>
                <w:color w:val="auto"/>
              </w:rPr>
            </w:pPr>
            <w:r>
              <w:rPr>
                <w:rFonts w:ascii="Times New Roman" w:cs="Times New Roman" w:eastAsia="Times New Roman" w:hAnsi="Times New Roman"/>
                <w:sz w:val="16"/>
                <w:szCs w:val="16"/>
                <w:b w:val="1"/>
                <w:bCs w:val="1"/>
                <w:color w:val="auto"/>
              </w:rPr>
              <w:t>Q3 2025</w:t>
            </w:r>
          </w:p>
        </w:tc>
      </w:tr>
      <w:tr>
        <w:trPr>
          <w:trHeight w:val="165"/>
        </w:trPr>
        <w:tc>
          <w:tcPr>
            <w:tcW w:w="40" w:type="dxa"/>
            <w:vAlign w:val="bottom"/>
            <w:tcBorders>
              <w:right w:val="single" w:sz="8" w:color="auto"/>
            </w:tcBorders>
          </w:tcPr>
          <w:p>
            <w:pPr>
              <w:spacing w:after="0"/>
              <w:rPr>
                <w:sz w:val="14"/>
                <w:szCs w:val="14"/>
                <w:color w:val="auto"/>
              </w:rPr>
            </w:pPr>
          </w:p>
        </w:tc>
        <w:tc>
          <w:tcPr>
            <w:tcW w:w="4820" w:type="dxa"/>
            <w:vAlign w:val="bottom"/>
            <w:tcBorders>
              <w:bottom w:val="single" w:sz="8" w:color="auto"/>
              <w:right w:val="single" w:sz="8" w:color="auto"/>
            </w:tcBorders>
          </w:tcPr>
          <w:p>
            <w:pPr>
              <w:ind w:left="60"/>
              <w:spacing w:after="0" w:line="165" w:lineRule="exact"/>
              <w:rPr>
                <w:sz w:val="20"/>
                <w:szCs w:val="20"/>
                <w:color w:val="auto"/>
              </w:rPr>
            </w:pPr>
            <w:r>
              <w:rPr>
                <w:rFonts w:ascii="Times New Roman" w:cs="Times New Roman" w:eastAsia="Times New Roman" w:hAnsi="Times New Roman"/>
                <w:sz w:val="16"/>
                <w:szCs w:val="16"/>
                <w:color w:val="auto"/>
              </w:rPr>
              <w:t>Retail segment gross profit</w:t>
            </w:r>
          </w:p>
        </w:tc>
        <w:tc>
          <w:tcPr>
            <w:tcW w:w="1220" w:type="dxa"/>
            <w:vAlign w:val="bottom"/>
            <w:tcBorders>
              <w:bottom w:val="single" w:sz="8" w:color="auto"/>
              <w:right w:val="single" w:sz="8" w:color="auto"/>
            </w:tcBorders>
          </w:tcPr>
          <w:p>
            <w:pPr>
              <w:jc w:val="right"/>
              <w:ind w:right="21"/>
              <w:spacing w:after="0" w:line="165" w:lineRule="exact"/>
              <w:rPr>
                <w:sz w:val="20"/>
                <w:szCs w:val="20"/>
                <w:color w:val="auto"/>
              </w:rPr>
            </w:pPr>
            <w:r>
              <w:rPr>
                <w:rFonts w:ascii="Times New Roman" w:cs="Times New Roman" w:eastAsia="Times New Roman" w:hAnsi="Times New Roman"/>
                <w:sz w:val="16"/>
                <w:szCs w:val="16"/>
                <w:color w:val="auto"/>
              </w:rPr>
              <w:t>$78.0M</w:t>
            </w:r>
          </w:p>
        </w:tc>
        <w:tc>
          <w:tcPr>
            <w:tcW w:w="1240" w:type="dxa"/>
            <w:vAlign w:val="bottom"/>
            <w:tcBorders>
              <w:bottom w:val="single" w:sz="8" w:color="auto"/>
              <w:right w:val="single" w:sz="8" w:color="auto"/>
            </w:tcBorders>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rPr>
              <w:t>$80.0M</w:t>
            </w: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shd w:val="clear" w:color="auto" w:fill="C6D9F1"/>
          </w:tcPr>
          <w:p>
            <w:pPr>
              <w:spacing w:after="0"/>
              <w:rPr>
                <w:sz w:val="15"/>
                <w:szCs w:val="15"/>
                <w:color w:val="auto"/>
              </w:rPr>
            </w:pPr>
          </w:p>
        </w:tc>
        <w:tc>
          <w:tcPr>
            <w:tcW w:w="1220" w:type="dxa"/>
            <w:vAlign w:val="bottom"/>
            <w:tcBorders>
              <w:bottom w:val="single" w:sz="8" w:color="auto"/>
              <w:right w:val="single" w:sz="8" w:color="auto"/>
            </w:tcBorders>
            <w:shd w:val="clear" w:color="auto" w:fill="C6D9F1"/>
          </w:tcPr>
          <w:p>
            <w:pPr>
              <w:spacing w:after="0"/>
              <w:rPr>
                <w:sz w:val="15"/>
                <w:szCs w:val="15"/>
                <w:color w:val="auto"/>
              </w:rPr>
            </w:pPr>
          </w:p>
        </w:tc>
        <w:tc>
          <w:tcPr>
            <w:tcW w:w="1240" w:type="dxa"/>
            <w:vAlign w:val="bottom"/>
            <w:tcBorders>
              <w:bottom w:val="single" w:sz="8" w:color="auto"/>
              <w:right w:val="single" w:sz="8" w:color="auto"/>
            </w:tcBorders>
            <w:shd w:val="clear" w:color="auto" w:fill="C6D9F1"/>
          </w:tcPr>
          <w:p>
            <w:pPr>
              <w:spacing w:after="0"/>
              <w:rPr>
                <w:sz w:val="15"/>
                <w:szCs w:val="15"/>
                <w:color w:val="auto"/>
              </w:rPr>
            </w:pP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Retail segment motor fuel gallons distributed</w:t>
            </w:r>
          </w:p>
        </w:tc>
        <w:tc>
          <w:tcPr>
            <w:tcW w:w="122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128.6M</w:t>
            </w:r>
          </w:p>
        </w:tc>
        <w:tc>
          <w:tcPr>
            <w:tcW w:w="1240" w:type="dxa"/>
            <w:vAlign w:val="bottom"/>
            <w:tcBorders>
              <w:bottom w:val="single" w:sz="8" w:color="auto"/>
              <w:right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141.8M</w:t>
            </w: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shd w:val="clear" w:color="auto" w:fill="C6D9F1"/>
          </w:tcPr>
          <w:p>
            <w:pPr>
              <w:ind w:left="60"/>
              <w:spacing w:after="0" w:line="181" w:lineRule="exact"/>
              <w:rPr>
                <w:sz w:val="20"/>
                <w:szCs w:val="20"/>
                <w:color w:val="auto"/>
              </w:rPr>
            </w:pPr>
            <w:r>
              <w:rPr>
                <w:rFonts w:ascii="Times New Roman" w:cs="Times New Roman" w:eastAsia="Times New Roman" w:hAnsi="Times New Roman"/>
                <w:sz w:val="16"/>
                <w:szCs w:val="16"/>
                <w:color w:val="auto"/>
              </w:rPr>
              <w:t>Same store motor fuel gallons distributed</w:t>
            </w:r>
          </w:p>
        </w:tc>
        <w:tc>
          <w:tcPr>
            <w:tcW w:w="122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123.2M</w:t>
            </w:r>
          </w:p>
        </w:tc>
        <w:tc>
          <w:tcPr>
            <w:tcW w:w="1240" w:type="dxa"/>
            <w:vAlign w:val="bottom"/>
            <w:tcBorders>
              <w:bottom w:val="single" w:sz="8" w:color="auto"/>
              <w:right w:val="single" w:sz="8" w:color="auto"/>
            </w:tcBorders>
            <w:shd w:val="clear" w:color="auto" w:fill="C6D9F1"/>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133.1M</w:t>
            </w: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Retail segment motor fuel gross profit</w:t>
            </w:r>
          </w:p>
        </w:tc>
        <w:tc>
          <w:tcPr>
            <w:tcW w:w="122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$37.6M</w:t>
            </w:r>
          </w:p>
        </w:tc>
        <w:tc>
          <w:tcPr>
            <w:tcW w:w="1240" w:type="dxa"/>
            <w:vAlign w:val="bottom"/>
            <w:tcBorders>
              <w:bottom w:val="single" w:sz="8" w:color="auto"/>
              <w:right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$40.7M</w:t>
            </w:r>
          </w:p>
        </w:tc>
      </w:tr>
      <w:tr>
        <w:trPr>
          <w:trHeight w:val="165"/>
        </w:trPr>
        <w:tc>
          <w:tcPr>
            <w:tcW w:w="40" w:type="dxa"/>
            <w:vAlign w:val="bottom"/>
            <w:tcBorders>
              <w:right w:val="single" w:sz="8" w:color="auto"/>
            </w:tcBorders>
          </w:tcPr>
          <w:p>
            <w:pPr>
              <w:spacing w:after="0"/>
              <w:rPr>
                <w:sz w:val="14"/>
                <w:szCs w:val="14"/>
                <w:color w:val="auto"/>
              </w:rPr>
            </w:pPr>
          </w:p>
        </w:tc>
        <w:tc>
          <w:tcPr>
            <w:tcW w:w="4820" w:type="dxa"/>
            <w:vAlign w:val="bottom"/>
            <w:tcBorders>
              <w:right w:val="single" w:sz="8" w:color="auto"/>
            </w:tcBorders>
            <w:shd w:val="clear" w:color="auto" w:fill="C6D9F1"/>
          </w:tcPr>
          <w:p>
            <w:pPr>
              <w:ind w:left="60"/>
              <w:spacing w:after="0" w:line="165" w:lineRule="exact"/>
              <w:rPr>
                <w:sz w:val="20"/>
                <w:szCs w:val="20"/>
                <w:color w:val="auto"/>
              </w:rPr>
            </w:pPr>
            <w:r>
              <w:rPr>
                <w:rFonts w:ascii="Times New Roman" w:cs="Times New Roman" w:eastAsia="Times New Roman" w:hAnsi="Times New Roman"/>
                <w:sz w:val="16"/>
                <w:szCs w:val="16"/>
                <w:color w:val="auto"/>
              </w:rPr>
              <w:t>Retail segment margin per gallon, before deducting credit card fees and</w:t>
            </w:r>
          </w:p>
        </w:tc>
        <w:tc>
          <w:tcPr>
            <w:tcW w:w="1220" w:type="dxa"/>
            <w:vAlign w:val="bottom"/>
            <w:tcBorders>
              <w:right w:val="single" w:sz="8" w:color="auto"/>
            </w:tcBorders>
            <w:shd w:val="clear" w:color="auto" w:fill="C6D9F1"/>
          </w:tcPr>
          <w:p>
            <w:pPr>
              <w:jc w:val="right"/>
              <w:ind w:right="21"/>
              <w:spacing w:after="0" w:line="165" w:lineRule="exact"/>
              <w:rPr>
                <w:sz w:val="20"/>
                <w:szCs w:val="20"/>
                <w:color w:val="auto"/>
              </w:rPr>
            </w:pPr>
            <w:r>
              <w:rPr>
                <w:rFonts w:ascii="Times New Roman" w:cs="Times New Roman" w:eastAsia="Times New Roman" w:hAnsi="Times New Roman"/>
                <w:sz w:val="16"/>
                <w:szCs w:val="16"/>
                <w:color w:val="auto"/>
              </w:rPr>
              <w:t>$0.404</w:t>
            </w:r>
          </w:p>
        </w:tc>
        <w:tc>
          <w:tcPr>
            <w:tcW w:w="1240" w:type="dxa"/>
            <w:vAlign w:val="bottom"/>
            <w:tcBorders>
              <w:right w:val="single" w:sz="8" w:color="auto"/>
            </w:tcBorders>
            <w:shd w:val="clear" w:color="auto" w:fill="C6D9F1"/>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rPr>
              <w:t>$0.384</w:t>
            </w:r>
          </w:p>
        </w:tc>
      </w:tr>
      <w:tr>
        <w:trPr>
          <w:trHeight w:val="206"/>
        </w:trPr>
        <w:tc>
          <w:tcPr>
            <w:tcW w:w="40" w:type="dxa"/>
            <w:vAlign w:val="bottom"/>
            <w:tcBorders>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shd w:val="clear" w:color="auto" w:fill="C6D9F1"/>
          </w:tcPr>
          <w:p>
            <w:pPr>
              <w:ind w:left="60"/>
              <w:spacing w:after="0"/>
              <w:rPr>
                <w:sz w:val="20"/>
                <w:szCs w:val="20"/>
                <w:color w:val="auto"/>
              </w:rPr>
            </w:pPr>
            <w:r>
              <w:rPr>
                <w:rFonts w:ascii="Times New Roman" w:cs="Times New Roman" w:eastAsia="Times New Roman" w:hAnsi="Times New Roman"/>
                <w:sz w:val="16"/>
                <w:szCs w:val="16"/>
                <w:color w:val="auto"/>
              </w:rPr>
              <w:t>commissions</w:t>
            </w:r>
          </w:p>
        </w:tc>
        <w:tc>
          <w:tcPr>
            <w:tcW w:w="1220" w:type="dxa"/>
            <w:vAlign w:val="bottom"/>
            <w:tcBorders>
              <w:bottom w:val="single" w:sz="8" w:color="auto"/>
              <w:right w:val="single" w:sz="8" w:color="auto"/>
            </w:tcBorders>
            <w:shd w:val="clear" w:color="auto" w:fill="C6D9F1"/>
          </w:tcPr>
          <w:p>
            <w:pPr>
              <w:spacing w:after="0"/>
              <w:rPr>
                <w:sz w:val="17"/>
                <w:szCs w:val="17"/>
                <w:color w:val="auto"/>
              </w:rPr>
            </w:pPr>
          </w:p>
        </w:tc>
        <w:tc>
          <w:tcPr>
            <w:tcW w:w="1240" w:type="dxa"/>
            <w:vAlign w:val="bottom"/>
            <w:tcBorders>
              <w:bottom w:val="single" w:sz="8" w:color="auto"/>
              <w:right w:val="single" w:sz="8" w:color="auto"/>
            </w:tcBorders>
            <w:shd w:val="clear" w:color="auto" w:fill="C6D9F1"/>
          </w:tcPr>
          <w:p>
            <w:pPr>
              <w:spacing w:after="0"/>
              <w:rPr>
                <w:sz w:val="17"/>
                <w:szCs w:val="17"/>
                <w:color w:val="auto"/>
              </w:rPr>
            </w:pP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shd w:val="clear" w:color="auto" w:fill="C6D9F1"/>
          </w:tcPr>
          <w:p>
            <w:pPr>
              <w:ind w:left="60"/>
              <w:spacing w:after="0" w:line="181" w:lineRule="exact"/>
              <w:rPr>
                <w:sz w:val="20"/>
                <w:szCs w:val="20"/>
                <w:color w:val="auto"/>
              </w:rPr>
            </w:pPr>
            <w:r>
              <w:rPr>
                <w:rFonts w:ascii="Times New Roman" w:cs="Times New Roman" w:eastAsia="Times New Roman" w:hAnsi="Times New Roman"/>
                <w:sz w:val="16"/>
                <w:szCs w:val="16"/>
                <w:color w:val="auto"/>
              </w:rPr>
              <w:t>Same store merchandise sales excluding cigarettes*</w:t>
            </w:r>
          </w:p>
        </w:tc>
        <w:tc>
          <w:tcPr>
            <w:tcW w:w="122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$74.6M</w:t>
            </w:r>
          </w:p>
        </w:tc>
        <w:tc>
          <w:tcPr>
            <w:tcW w:w="1240" w:type="dxa"/>
            <w:vAlign w:val="bottom"/>
            <w:tcBorders>
              <w:bottom w:val="single" w:sz="8" w:color="auto"/>
              <w:right w:val="single" w:sz="8" w:color="auto"/>
            </w:tcBorders>
            <w:shd w:val="clear" w:color="auto" w:fill="C6D9F1"/>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$74.4M</w:t>
            </w: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Merchandise gross profit*</w:t>
            </w:r>
          </w:p>
        </w:tc>
        <w:tc>
          <w:tcPr>
            <w:tcW w:w="122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$32.8M</w:t>
            </w:r>
          </w:p>
        </w:tc>
        <w:tc>
          <w:tcPr>
            <w:tcW w:w="1240" w:type="dxa"/>
            <w:vAlign w:val="bottom"/>
            <w:tcBorders>
              <w:bottom w:val="single" w:sz="8" w:color="auto"/>
              <w:right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$32.0M</w:t>
            </w: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shd w:val="clear" w:color="auto" w:fill="C6D9F1"/>
          </w:tcPr>
          <w:p>
            <w:pPr>
              <w:ind w:left="60"/>
              <w:spacing w:after="0" w:line="181" w:lineRule="exact"/>
              <w:rPr>
                <w:sz w:val="20"/>
                <w:szCs w:val="20"/>
                <w:color w:val="auto"/>
              </w:rPr>
            </w:pPr>
            <w:r>
              <w:rPr>
                <w:rFonts w:ascii="Times New Roman" w:cs="Times New Roman" w:eastAsia="Times New Roman" w:hAnsi="Times New Roman"/>
                <w:sz w:val="16"/>
                <w:szCs w:val="16"/>
                <w:color w:val="auto"/>
              </w:rPr>
              <w:t>Merchandise gross profit percentage*</w:t>
            </w:r>
          </w:p>
        </w:tc>
        <w:tc>
          <w:tcPr>
            <w:tcW w:w="122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30.3%</w:t>
            </w:r>
          </w:p>
        </w:tc>
        <w:tc>
          <w:tcPr>
            <w:tcW w:w="1240" w:type="dxa"/>
            <w:vAlign w:val="bottom"/>
            <w:tcBorders>
              <w:bottom w:val="single" w:sz="8" w:color="auto"/>
              <w:right w:val="single" w:sz="8" w:color="auto"/>
            </w:tcBorders>
            <w:shd w:val="clear" w:color="auto" w:fill="C6D9F1"/>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28.9%</w:t>
            </w: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shd w:val="clear" w:color="auto" w:fill="C6D9F1"/>
          </w:tcPr>
          <w:p>
            <w:pPr>
              <w:ind w:left="60"/>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122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$50.5M</w:t>
            </w:r>
          </w:p>
        </w:tc>
        <w:tc>
          <w:tcPr>
            <w:tcW w:w="1240" w:type="dxa"/>
            <w:vAlign w:val="bottom"/>
            <w:tcBorders>
              <w:bottom w:val="single" w:sz="8" w:color="auto"/>
              <w:right w:val="single" w:sz="8" w:color="auto"/>
            </w:tcBorders>
            <w:shd w:val="clear" w:color="auto" w:fill="C6D9F1"/>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$50.6M</w:t>
            </w:r>
          </w:p>
        </w:tc>
      </w:tr>
      <w:tr>
        <w:trPr>
          <w:trHeight w:val="181"/>
        </w:trPr>
        <w:tc>
          <w:tcPr>
            <w:tcW w:w="40" w:type="dxa"/>
            <w:vAlign w:val="bottom"/>
            <w:tcBorders>
              <w:right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Retail Sites (average for period)</w:t>
            </w:r>
          </w:p>
        </w:tc>
        <w:tc>
          <w:tcPr>
            <w:tcW w:w="122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549</w:t>
            </w:r>
          </w:p>
        </w:tc>
        <w:tc>
          <w:tcPr>
            <w:tcW w:w="1240" w:type="dxa"/>
            <w:vAlign w:val="bottom"/>
            <w:tcBorders>
              <w:bottom w:val="single" w:sz="8" w:color="auto"/>
              <w:right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592</w:t>
            </w:r>
          </w:p>
        </w:tc>
      </w:tr>
      <w:tr>
        <w:trPr>
          <w:trHeight w:val="198"/>
        </w:trPr>
        <w:tc>
          <w:tcPr>
            <w:tcW w:w="4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*Includes only company operated retail sites</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15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For the third quarter of 2026, the retail segment gross profit declined 2% compared to the third quarter of 2025, primarily due to a decrease in motor fuel gross profit, partially offset by increases in merchandise and other revenue gross profit compared to the prior year.</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motor fuel gross profit for the retail segment declined $3.2 million or 8%, attributable to a 9% decrease in motor fuel volume sold for the three months ended September 30, 2026, as compared to the same period in 2025. The volume decline was due primarily to a 7% decrease in same store motor fuel gallons as well as a decrease in the average retail site count due to the sale of certain company operated and commission agent sites in connection with CrossAmerica's real estate optimization effort. This volume decline was partially offset by an increase in margin per gallon of 5%, which was primarily driven by greater volatility in crude oil prices between the two periods.</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For the third quarter of 2026, CrossAmerica’s merchandise gross profit increased 2% when compared to the third quarter of 2025, despite a 7% decline in average company operated store count. Same store merchandise sales excluding cigarettes were relatively flat for the third quarter of 2026 when compared to the third quarter of 2025. Merchandise gross profit percentage increased from 28.9% for the third quarter of 2025 to 30.3% for the third quarter of 2026 due to improved merchandise sales mix towards higher food margin categories as well as improved category level merchandise margins.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Operating expenses for the retail segment declined slightly, $0.2 million dollars, with same store retail segment operating expenses increasing 1%, offset by the decline in the average retail segment site count.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08"/>
        </w:trPr>
        <w:tc>
          <w:tcPr>
            <w:tcW w:w="48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Wholesale Segment</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15"/>
        </w:trPr>
        <w:tc>
          <w:tcPr>
            <w:tcW w:w="48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181"/>
        </w:trPr>
        <w:tc>
          <w:tcPr>
            <w:tcW w:w="4860" w:type="dxa"/>
            <w:vAlign w:val="bottom"/>
            <w:tcBorders>
              <w:top w:val="single" w:sz="8" w:color="auto"/>
              <w:left w:val="single" w:sz="8" w:color="auto"/>
              <w:bottom w:val="single" w:sz="8" w:color="auto"/>
              <w:right w:val="single" w:sz="8" w:color="auto"/>
            </w:tcBorders>
            <w:shd w:val="clear" w:color="auto" w:fill="C6D9F1"/>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Key Operating Metrics</w:t>
            </w:r>
          </w:p>
        </w:tc>
        <w:tc>
          <w:tcPr>
            <w:tcW w:w="1100" w:type="dxa"/>
            <w:vAlign w:val="bottom"/>
            <w:tcBorders>
              <w:top w:val="single" w:sz="8" w:color="C6D9F1"/>
              <w:bottom w:val="single" w:sz="8" w:color="auto"/>
              <w:right w:val="single" w:sz="8" w:color="auto"/>
            </w:tcBorders>
            <w:shd w:val="clear" w:color="auto" w:fill="C6D9F1"/>
          </w:tcPr>
          <w:p>
            <w:pPr>
              <w:jc w:val="right"/>
              <w:ind w:right="221"/>
              <w:spacing w:after="0" w:line="161" w:lineRule="exact"/>
              <w:rPr>
                <w:sz w:val="20"/>
                <w:szCs w:val="20"/>
                <w:color w:val="auto"/>
              </w:rPr>
            </w:pPr>
            <w:r>
              <w:rPr>
                <w:rFonts w:ascii="Times New Roman" w:cs="Times New Roman" w:eastAsia="Times New Roman" w:hAnsi="Times New Roman"/>
                <w:sz w:val="16"/>
                <w:szCs w:val="16"/>
                <w:b w:val="1"/>
                <w:bCs w:val="1"/>
                <w:color w:val="auto"/>
              </w:rPr>
              <w:t>Q3 2026</w:t>
            </w:r>
          </w:p>
        </w:tc>
        <w:tc>
          <w:tcPr>
            <w:tcW w:w="1120" w:type="dxa"/>
            <w:vAlign w:val="bottom"/>
            <w:tcBorders>
              <w:top w:val="single" w:sz="8" w:color="C6D9F1"/>
              <w:bottom w:val="single" w:sz="8" w:color="auto"/>
              <w:right w:val="single" w:sz="8" w:color="auto"/>
            </w:tcBorders>
            <w:shd w:val="clear" w:color="auto" w:fill="C6D9F1"/>
          </w:tcPr>
          <w:p>
            <w:pPr>
              <w:jc w:val="right"/>
              <w:ind w:right="221"/>
              <w:spacing w:after="0" w:line="161" w:lineRule="exact"/>
              <w:rPr>
                <w:sz w:val="20"/>
                <w:szCs w:val="20"/>
                <w:color w:val="auto"/>
              </w:rPr>
            </w:pPr>
            <w:r>
              <w:rPr>
                <w:rFonts w:ascii="Times New Roman" w:cs="Times New Roman" w:eastAsia="Times New Roman" w:hAnsi="Times New Roman"/>
                <w:sz w:val="16"/>
                <w:szCs w:val="16"/>
                <w:b w:val="1"/>
                <w:bCs w:val="1"/>
                <w:color w:val="auto"/>
              </w:rPr>
              <w:t>Q3 2025</w:t>
            </w:r>
          </w:p>
        </w:tc>
      </w:tr>
      <w:tr>
        <w:trPr>
          <w:trHeight w:val="165"/>
        </w:trPr>
        <w:tc>
          <w:tcPr>
            <w:tcW w:w="4860" w:type="dxa"/>
            <w:vAlign w:val="bottom"/>
            <w:tcBorders>
              <w:left w:val="single" w:sz="8" w:color="auto"/>
              <w:bottom w:val="single" w:sz="8" w:color="auto"/>
              <w:right w:val="single" w:sz="8" w:color="auto"/>
            </w:tcBorders>
          </w:tcPr>
          <w:p>
            <w:pPr>
              <w:ind w:left="100"/>
              <w:spacing w:after="0" w:line="165" w:lineRule="exact"/>
              <w:rPr>
                <w:sz w:val="20"/>
                <w:szCs w:val="20"/>
                <w:color w:val="auto"/>
              </w:rPr>
            </w:pPr>
            <w:r>
              <w:rPr>
                <w:rFonts w:ascii="Times New Roman" w:cs="Times New Roman" w:eastAsia="Times New Roman" w:hAnsi="Times New Roman"/>
                <w:sz w:val="16"/>
                <w:szCs w:val="16"/>
                <w:color w:val="auto"/>
              </w:rPr>
              <w:t>Wholesale segment gross profit</w:t>
            </w:r>
          </w:p>
        </w:tc>
        <w:tc>
          <w:tcPr>
            <w:tcW w:w="1100" w:type="dxa"/>
            <w:vAlign w:val="bottom"/>
            <w:tcBorders>
              <w:bottom w:val="single" w:sz="8" w:color="auto"/>
              <w:right w:val="single" w:sz="8" w:color="auto"/>
            </w:tcBorders>
          </w:tcPr>
          <w:p>
            <w:pPr>
              <w:jc w:val="right"/>
              <w:ind w:right="21"/>
              <w:spacing w:after="0" w:line="165" w:lineRule="exact"/>
              <w:rPr>
                <w:sz w:val="20"/>
                <w:szCs w:val="20"/>
                <w:color w:val="auto"/>
              </w:rPr>
            </w:pPr>
            <w:r>
              <w:rPr>
                <w:rFonts w:ascii="Times New Roman" w:cs="Times New Roman" w:eastAsia="Times New Roman" w:hAnsi="Times New Roman"/>
                <w:sz w:val="16"/>
                <w:szCs w:val="16"/>
                <w:color w:val="auto"/>
              </w:rPr>
              <w:t>$23.1M</w:t>
            </w:r>
          </w:p>
        </w:tc>
        <w:tc>
          <w:tcPr>
            <w:tcW w:w="1120" w:type="dxa"/>
            <w:vAlign w:val="bottom"/>
            <w:tcBorders>
              <w:bottom w:val="single" w:sz="8" w:color="auto"/>
              <w:right w:val="single" w:sz="8" w:color="auto"/>
            </w:tcBorders>
          </w:tcPr>
          <w:p>
            <w:pPr>
              <w:jc w:val="right"/>
              <w:ind w:right="21"/>
              <w:spacing w:after="0" w:line="165" w:lineRule="exact"/>
              <w:rPr>
                <w:sz w:val="20"/>
                <w:szCs w:val="20"/>
                <w:color w:val="auto"/>
              </w:rPr>
            </w:pPr>
            <w:r>
              <w:rPr>
                <w:rFonts w:ascii="Times New Roman" w:cs="Times New Roman" w:eastAsia="Times New Roman" w:hAnsi="Times New Roman"/>
                <w:sz w:val="16"/>
                <w:szCs w:val="16"/>
                <w:color w:val="auto"/>
              </w:rPr>
              <w:t>$24.8M</w:t>
            </w:r>
          </w:p>
        </w:tc>
      </w:tr>
      <w:tr>
        <w:trPr>
          <w:trHeight w:val="181"/>
        </w:trPr>
        <w:tc>
          <w:tcPr>
            <w:tcW w:w="4860" w:type="dxa"/>
            <w:vAlign w:val="bottom"/>
            <w:tcBorders>
              <w:left w:val="single" w:sz="8" w:color="auto"/>
              <w:bottom w:val="single" w:sz="8" w:color="auto"/>
              <w:right w:val="single" w:sz="8" w:color="auto"/>
            </w:tcBorders>
            <w:shd w:val="clear" w:color="auto" w:fill="C6D9F1"/>
          </w:tcPr>
          <w:p>
            <w:pPr>
              <w:ind w:left="100"/>
              <w:spacing w:after="0" w:line="181" w:lineRule="exact"/>
              <w:rPr>
                <w:sz w:val="20"/>
                <w:szCs w:val="20"/>
                <w:color w:val="auto"/>
              </w:rPr>
            </w:pPr>
            <w:r>
              <w:rPr>
                <w:rFonts w:ascii="Times New Roman" w:cs="Times New Roman" w:eastAsia="Times New Roman" w:hAnsi="Times New Roman"/>
                <w:sz w:val="16"/>
                <w:szCs w:val="16"/>
                <w:color w:val="auto"/>
              </w:rPr>
              <w:t>Wholesale motor fuel gallons distributed</w:t>
            </w:r>
          </w:p>
        </w:tc>
        <w:tc>
          <w:tcPr>
            <w:tcW w:w="110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162.8M</w:t>
            </w:r>
          </w:p>
        </w:tc>
        <w:tc>
          <w:tcPr>
            <w:tcW w:w="1120" w:type="dxa"/>
            <w:vAlign w:val="bottom"/>
            <w:tcBorders>
              <w:bottom w:val="single" w:sz="8" w:color="auto"/>
              <w:right w:val="single" w:sz="8" w:color="auto"/>
            </w:tcBorders>
            <w:shd w:val="clear" w:color="auto" w:fill="C6D9F1"/>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177.7M</w:t>
            </w:r>
          </w:p>
        </w:tc>
      </w:tr>
      <w:tr>
        <w:trPr>
          <w:trHeight w:val="181"/>
        </w:trPr>
        <w:tc>
          <w:tcPr>
            <w:tcW w:w="4860" w:type="dxa"/>
            <w:vAlign w:val="bottom"/>
            <w:tcBorders>
              <w:left w:val="single" w:sz="8" w:color="auto"/>
              <w:bottom w:val="single" w:sz="8" w:color="auto"/>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6"/>
                <w:szCs w:val="16"/>
                <w:color w:val="auto"/>
              </w:rPr>
              <w:t>Average wholesale gross profit per gallon</w:t>
            </w:r>
          </w:p>
        </w:tc>
        <w:tc>
          <w:tcPr>
            <w:tcW w:w="110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$0.088</w:t>
            </w:r>
          </w:p>
        </w:tc>
        <w:tc>
          <w:tcPr>
            <w:tcW w:w="1120" w:type="dxa"/>
            <w:vAlign w:val="bottom"/>
            <w:tcBorders>
              <w:bottom w:val="single" w:sz="8" w:color="auto"/>
              <w:right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$0.088</w:t>
            </w:r>
          </w:p>
        </w:tc>
      </w:tr>
    </w:tbl>
    <w:p>
      <w:pPr>
        <w:spacing w:after="0" w:line="36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During the third quarter of 2026, CrossAmerica’s wholesale segment gross profit declined 7% when compared to the third quarter of 2025. The decrease was primarily driven by a 9% or $1.4 million decline in motor fuel gross profit.</w:t>
      </w:r>
    </w:p>
    <w:p>
      <w:pPr>
        <w:spacing w:after="0" w:line="14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The decrease in motor fuel gross profit for the third quarter of 2026 when compared to the third quarter of 2025 was driven by an 8% decline in wholesale volume distributed. The decline in volume was primarily due to a reduction in volume in the base business as well as the net loss of independent dealer contracts. Operating expenses declined $1.1 million or 16% primarily due to a decrease in average controlled site count due to CrossAmerica's real estate optimization effort.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Investment and Real Estate Activity</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During the three months ended September 30, 2026, CrossAmerica sold 15 sites for $10.6 million in proceeds, resulting in a net gain of $2.9 million. For the nine months ended September 30, 2026, CrossAmerica sold 36 sites for $26.0 million in proceeds, resulting in a net gain of $10.3 million. CrossAmerica maintained a supply relationship post sale with substantially all of the locations divested during the periods.</w:t>
      </w:r>
    </w:p>
    <w:p>
      <w:pPr>
        <w:spacing w:after="0" w:line="157"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6"/>
          <w:szCs w:val="16"/>
          <w:color w:val="auto"/>
        </w:rPr>
        <w:t>Also during the third quarter of 2026, CrossAmerica invested $7.2 million in capital expenditures across its portfolio of locations. Growth capital spending totaled $1.9 million during the quarter and $6.4 million year to date, with spending focused on company operated retail location renovations, including expanded food offerings. Sustaining capital expenditures totaled $5.3 million in the quarter and $11.6 million year to date, with investment focused on CrossAmerica's company operated portfolio.</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Liquidity and Capital Resources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As of September 30, 2026, CrossAmerica had $674.5 million outstanding under its Credit Facility. As of October 30, 2026, after taking into consideration debt covenant restrictions, approximately $237 million was available for future borrowings under the Credit Facility. Leverage, as defined in the Credit Facility, was 3.72 times as of September 30, 2026, compared to 3.56 times as of September 30, 2025. As of September 30, 2026, CrossAmerica was in compliance with its financial covenants under the Credit Facility.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Distributions</w:t>
      </w:r>
    </w:p>
    <w:p>
      <w:pPr>
        <w:spacing w:after="0" w:line="19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October 21, 2026, the Board of the Directors of CrossAmerica’s General Partner (“Board”) declared a quarterly distribution of $0.5250 per limited partner unit attributable to the third quarter of 2026. As previously announced, the distribution will be paid on November 12, 2026, to all unitholders of record as of November 2, 2026. The amount and timing of any future distributions is subject to the discretion of the Board as provided in CrossAmerica’s Partnership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Partnership will host a conference call on November 5, 2026, at 9:00 a.m. Eastern Time to discuss the third quarter of 2026 earnings results. The conference call numbers are 800-717-1738 or 646-307-1865 and the passcode for both is 301276. An audio webcast of the conference call and the related earnings materials, including reconciliations of any non-GAAP financial measures to GAAP financial measures and any other applicable disclosures, will be available on that same day on the investor section of the CrossAmerica website (www.crossamericapartners.com). After the conference call, an archive of the webcast will be available on the investor section of the CrossAmerica site at https://caplp.gcs-web.com/webcasts-presentations within 24 hours after the call for a period of sixty days.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Non-GAAP Measures and Same Store Metrics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Non-GAAP measures used in this release include EBITDA, Adjusted EBITDA, Distributable Cash Flow and Distribution Coverage Ratio. These Non-GAAP measures are further described and reconciled to their most directly comparable GAAP measures in the Supplemental Disclosure Regarding Non-GAAP Financial Measures section of this release.</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Same store fuel volume and same store merchandise sales include aggregated individual store results for all stores that had fuel volume or merchandise sales and that were operated in the same class of trade for all months for both periods. Same store merchandise sales excludes other revenues such as lottery commissions and car wash sales.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541655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CROSSAMERICA PARTNERS LP</w:t>
      </w:r>
    </w:p>
    <w:p>
      <w:pPr>
        <w:spacing w:after="0" w:line="2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(Thousands of Dollars, except unit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80" w:type="dxa"/>
            <w:vAlign w:val="bottom"/>
            <w:vMerge w:val="restart"/>
          </w:tcPr>
          <w:p>
            <w:pPr>
              <w:ind w:left="3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18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allowances of $319 and $635, respectively</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28,566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from related parties</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71,144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59,610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held for sale</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portion of interest rate swap contracts</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2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132,746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111,081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567,104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 net</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101,107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121,636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99,409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contracts, less current portion</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78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975,818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964,734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80" w:type="dxa"/>
            <w:vAlign w:val="bottom"/>
            <w:tcBorders>
              <w:top w:val="single" w:sz="8" w:color="CFF0FC"/>
            </w:tcBorders>
          </w:tcPr>
          <w:p>
            <w:pPr>
              <w:spacing w:after="0"/>
              <w:rPr>
                <w:sz w:val="14"/>
                <w:szCs w:val="14"/>
                <w:color w:val="auto"/>
              </w:rPr>
            </w:pPr>
          </w:p>
        </w:tc>
        <w:tc>
          <w:tcPr>
            <w:tcW w:w="256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27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portion of debt and finance lease obligations</w:t>
            </w:r>
          </w:p>
        </w:tc>
        <w:tc>
          <w:tcPr>
            <w:tcW w:w="2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operating lease obligations</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81,609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63,413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Current portion of interest rate swap contracts</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Motor fuel and sales taxes payable</w:t>
            </w:r>
          </w:p>
        </w:tc>
        <w:tc>
          <w:tcPr>
            <w:tcW w:w="25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19,013</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169,208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149,510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Debt and finance lease obligations, less current portion</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712,579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687,187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obligations, less current portion</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80,299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9,576</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swap contracts, less current portion</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1,060,530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1,036,773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membership interests</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30,874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30,289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ind w:left="120"/>
              <w:spacing w:after="0" w:line="173" w:lineRule="exact"/>
              <w:rPr>
                <w:sz w:val="20"/>
                <w:szCs w:val="20"/>
                <w:color w:val="auto"/>
              </w:rPr>
            </w:pPr>
            <w:r>
              <w:rPr>
                <w:rFonts w:ascii="Times New Roman" w:cs="Times New Roman" w:eastAsia="Times New Roman" w:hAnsi="Times New Roman"/>
                <w:sz w:val="16"/>
                <w:szCs w:val="16"/>
                <w:color w:val="auto"/>
              </w:rPr>
              <w:t>Common units— 38,173,255 and 38,135,078 units issued and</w:t>
            </w: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 at September 30, 2026 and December 31, 2025, respectively</w:t>
            </w:r>
          </w:p>
        </w:tc>
        <w:tc>
          <w:tcPr>
            <w:tcW w:w="2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(122,625)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(101,280)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5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7,039</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deficit</w:t>
            </w: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(115,586)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(102,328)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278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975,818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964,734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18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2021"/>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-4354830</wp:posOffset>
            </wp:positionV>
            <wp:extent cx="67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-4340225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-4354830</wp:posOffset>
            </wp:positionV>
            <wp:extent cx="67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-4340225</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-3131185</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-3131185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-1073150</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-1073150</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-817880</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-802640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-817880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-802640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CROSSAMERICA PARTNERS LP</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(Thousands of Dollars, Except Unit and Per Unit Amounts)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gridSpan w:val="5"/>
          </w:tcPr>
          <w:p>
            <w:pPr>
              <w:jc w:val="right"/>
              <w:ind w:right="440"/>
              <w:spacing w:after="0" w:line="136" w:lineRule="exact"/>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gridSpan w:val="6"/>
          </w:tcPr>
          <w:p>
            <w:pPr>
              <w:jc w:val="right"/>
              <w:ind w:right="460"/>
              <w:spacing w:after="0" w:line="136" w:lineRule="exact"/>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5"/>
                <w:szCs w:val="15"/>
                <w:color w:val="auto"/>
              </w:rPr>
              <w:t xml:space="preserve">Operating revenues </w:t>
            </w:r>
            <w:r>
              <w:rPr>
                <w:rFonts w:ascii="Times New Roman" w:cs="Times New Roman" w:eastAsia="Times New Roman" w:hAnsi="Times New Roman"/>
                <w:sz w:val="20"/>
                <w:szCs w:val="20"/>
                <w:color w:val="auto"/>
                <w:vertAlign w:val="superscript"/>
              </w:rPr>
              <w:t>(a)</w:t>
            </w:r>
          </w:p>
        </w:tc>
        <w:tc>
          <w:tcPr>
            <w:tcW w:w="150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1,194,575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971,847</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3,215,422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2,796,247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 xml:space="preserve">Cost of sales </w:t>
            </w:r>
            <w:r>
              <w:rPr>
                <w:rFonts w:ascii="Times New Roman" w:cs="Times New Roman" w:eastAsia="Times New Roman" w:hAnsi="Times New Roman"/>
                <w:sz w:val="21"/>
                <w:szCs w:val="21"/>
                <w:color w:val="auto"/>
                <w:vertAlign w:val="superscript"/>
              </w:rPr>
              <w:t>(b)</w:t>
            </w:r>
          </w:p>
        </w:tc>
        <w:tc>
          <w:tcPr>
            <w:tcW w:w="1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1,093,449</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867,077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2,903,886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2,500,671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101,126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104,770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311,536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295,576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ind w:left="80"/>
              <w:spacing w:after="0" w:line="190" w:lineRule="exact"/>
              <w:rPr>
                <w:sz w:val="20"/>
                <w:szCs w:val="20"/>
                <w:color w:val="auto"/>
              </w:rPr>
            </w:pPr>
            <w:r>
              <w:rPr>
                <w:rFonts w:ascii="Times New Roman" w:cs="Times New Roman" w:eastAsia="Times New Roman" w:hAnsi="Times New Roman"/>
                <w:sz w:val="16"/>
                <w:szCs w:val="16"/>
                <w:color w:val="auto"/>
              </w:rPr>
              <w:t xml:space="preserve">Operating expenses </w:t>
            </w:r>
            <w:r>
              <w:rPr>
                <w:rFonts w:ascii="Times New Roman" w:cs="Times New Roman" w:eastAsia="Times New Roman" w:hAnsi="Times New Roman"/>
                <w:sz w:val="21"/>
                <w:szCs w:val="21"/>
                <w:color w:val="auto"/>
                <w:vertAlign w:val="superscript"/>
              </w:rPr>
              <w:t>(c)</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56,274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amortization and accretion expense</w:t>
            </w:r>
          </w:p>
        </w:tc>
        <w:tc>
          <w:tcPr>
            <w:tcW w:w="1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FF0FC"/>
          </w:tcPr>
          <w:p>
            <w:pPr>
              <w:ind w:left="18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79,830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84,070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238,421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264,780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Gain on dispositions and lease terminations, net</w:t>
            </w:r>
          </w:p>
        </w:tc>
        <w:tc>
          <w:tcPr>
            <w:tcW w:w="1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income</w:t>
            </w: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23,711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28,087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82,733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71,585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(12,176)</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(34,268)</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(37,199)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Income before income taxes</w:t>
            </w:r>
          </w:p>
        </w:tc>
        <w:tc>
          <w:tcPr>
            <w:tcW w:w="13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11,773</w:t>
            </w: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16,453</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49,072</w:t>
            </w: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34,804</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3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income</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8,766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13,588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40,237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31,641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Accretion of preferred membership interests</w:t>
            </w:r>
          </w:p>
        </w:tc>
        <w:tc>
          <w:tcPr>
            <w:tcW w:w="13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5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Net income available to limited partners</w:t>
            </w:r>
          </w:p>
        </w:tc>
        <w:tc>
          <w:tcPr>
            <w:tcW w:w="150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8,074</w:t>
            </w:r>
          </w:p>
        </w:tc>
        <w:tc>
          <w:tcPr>
            <w:tcW w:w="220" w:type="dxa"/>
            <w:vAlign w:val="bottom"/>
          </w:tcPr>
          <w:p>
            <w:pPr>
              <w:spacing w:after="0"/>
              <w:rPr>
                <w:sz w:val="15"/>
                <w:szCs w:val="15"/>
                <w:color w:val="auto"/>
              </w:rPr>
            </w:pP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12,892</w:t>
            </w:r>
          </w:p>
        </w:tc>
        <w:tc>
          <w:tcPr>
            <w:tcW w:w="140" w:type="dxa"/>
            <w:vAlign w:val="bottom"/>
          </w:tcPr>
          <w:p>
            <w:pPr>
              <w:spacing w:after="0"/>
              <w:rPr>
                <w:sz w:val="15"/>
                <w:szCs w:val="15"/>
                <w:color w:val="auto"/>
              </w:rPr>
            </w:pPr>
          </w:p>
        </w:tc>
        <w:tc>
          <w:tcPr>
            <w:tcW w:w="3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38,141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29,600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4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unit</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2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units: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38,168,524</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38,112,342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38,155,235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38,094,754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38,331,411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38,268,579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38,317,542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38,254,986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 includes excise taxes of:</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75,016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83,041</w:t>
            </w:r>
          </w:p>
        </w:tc>
        <w:tc>
          <w:tcPr>
            <w:tcW w:w="1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215,741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 includes rent income of:</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 excludes depreciation, amortization and accretion</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 includes rent expense of:</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 includes rent expense of:</w:t>
            </w: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4,548</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-3243580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-3243580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-3243580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-3243580</wp:posOffset>
            </wp:positionV>
            <wp:extent cx="749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-2995930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-2995930</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-2995930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-2995930</wp:posOffset>
            </wp:positionV>
            <wp:extent cx="749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-2747645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-2747645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-2747645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-2747645</wp:posOffset>
            </wp:positionV>
            <wp:extent cx="749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CROSSAMERICA PARTNERS LP</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(Thousands of Dollars)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7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32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280" w:type="dxa"/>
            <w:vAlign w:val="bottom"/>
            <w:gridSpan w:val="2"/>
          </w:tcPr>
          <w:p>
            <w:pPr>
              <w:jc w:val="right"/>
              <w:ind w:right="817"/>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40,237</w:t>
            </w:r>
          </w:p>
        </w:tc>
        <w:tc>
          <w:tcPr>
            <w:tcW w:w="180" w:type="dxa"/>
            <w:vAlign w:val="bottom"/>
          </w:tcPr>
          <w:p>
            <w:pPr>
              <w:spacing w:after="0"/>
              <w:rPr>
                <w:sz w:val="16"/>
                <w:szCs w:val="16"/>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amortization and accretion expense</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Credit loss expense</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Equity-based employee and director compensation expense</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Gain on dispositions and lease terminations, net</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(9,618)</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(40,789)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232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85,573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62,065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payments received on notes receivable</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26,768</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94,788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(18,056)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(28,657)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tcBorders>
              <w:top w:val="single" w:sz="8" w:color="CFF0FC"/>
            </w:tcBorders>
          </w:tcPr>
          <w:p>
            <w:pPr>
              <w:ind w:left="260"/>
              <w:spacing w:after="0" w:line="181" w:lineRule="exact"/>
              <w:rPr>
                <w:sz w:val="20"/>
                <w:szCs w:val="20"/>
                <w:color w:val="auto"/>
              </w:rPr>
            </w:pPr>
            <w:r>
              <w:rPr>
                <w:rFonts w:ascii="Times New Roman" w:cs="Times New Roman" w:eastAsia="Times New Roman" w:hAnsi="Times New Roman"/>
                <w:sz w:val="16"/>
                <w:szCs w:val="16"/>
                <w:color w:val="auto"/>
              </w:rPr>
              <w:t>Net cash provided by investing activities</w:t>
            </w:r>
          </w:p>
        </w:tc>
        <w:tc>
          <w:tcPr>
            <w:tcW w:w="232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7,058</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66,223</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2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Borrowings under the Credit Facility</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49,000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on the Credit Facility</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(95,796)</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(2,829)</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Distributions paid on distribution equivalent rights</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Distributions paid to preferred membership interests</w:t>
            </w: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Distributions paid on common units</w:t>
            </w:r>
          </w:p>
        </w:tc>
        <w:tc>
          <w:tcPr>
            <w:tcW w:w="2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(60,093)</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tcPr>
          <w:p>
            <w:pPr>
              <w:ind w:left="260"/>
              <w:spacing w:after="0" w:line="181" w:lineRule="exact"/>
              <w:rPr>
                <w:sz w:val="20"/>
                <w:szCs w:val="20"/>
                <w:color w:val="auto"/>
              </w:rPr>
            </w:pPr>
            <w:r>
              <w:rPr>
                <w:rFonts w:ascii="Times New Roman" w:cs="Times New Roman" w:eastAsia="Times New Roman" w:hAnsi="Times New Roman"/>
                <w:sz w:val="16"/>
                <w:szCs w:val="16"/>
                <w:color w:val="auto"/>
              </w:rPr>
              <w:t>Net cash used in financing activities</w:t>
            </w:r>
          </w:p>
        </w:tc>
        <w:tc>
          <w:tcPr>
            <w:tcW w:w="2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(87,938)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(125,903)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increase in cash and cash equivalents</w:t>
            </w:r>
          </w:p>
        </w:tc>
        <w:tc>
          <w:tcPr>
            <w:tcW w:w="232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4,693</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2,385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3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3280" w:type="dxa"/>
            <w:vAlign w:val="bottom"/>
            <w:gridSpan w:val="2"/>
          </w:tcPr>
          <w:p>
            <w:pPr>
              <w:jc w:val="right"/>
              <w:ind w:right="81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7,830</w:t>
            </w:r>
          </w:p>
        </w:tc>
        <w:tc>
          <w:tcPr>
            <w:tcW w:w="180" w:type="dxa"/>
            <w:vAlign w:val="bottom"/>
          </w:tcPr>
          <w:p>
            <w:pPr>
              <w:spacing w:after="0"/>
              <w:rPr>
                <w:sz w:val="15"/>
                <w:szCs w:val="15"/>
                <w:color w:val="auto"/>
              </w:rPr>
            </w:pPr>
          </w:p>
        </w:tc>
        <w:tc>
          <w:tcPr>
            <w:tcW w:w="1040" w:type="dxa"/>
            <w:vAlign w:val="bottom"/>
            <w:gridSpan w:val="2"/>
          </w:tcPr>
          <w:p>
            <w:pPr>
              <w:jc w:val="right"/>
              <w:ind w:right="8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5,766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320" w:type="dxa"/>
            <w:vAlign w:val="bottom"/>
            <w:vMerge w:val="restart"/>
          </w:tcPr>
          <w:p>
            <w:pPr>
              <w:jc w:val="right"/>
              <w:ind w:right="2021"/>
              <w:spacing w:after="0"/>
              <w:rPr>
                <w:sz w:val="20"/>
                <w:szCs w:val="20"/>
                <w:color w:val="auto"/>
              </w:rPr>
            </w:pPr>
            <w:r>
              <w:rPr>
                <w:rFonts w:ascii="Times New Roman" w:cs="Times New Roman" w:eastAsia="Times New Roman" w:hAnsi="Times New Roman"/>
                <w:sz w:val="16"/>
                <w:szCs w:val="16"/>
                <w:color w:val="auto"/>
              </w:rPr>
              <w:t>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4"/>
        </w:trPr>
        <w:tc>
          <w:tcPr>
            <w:tcW w:w="20" w:type="dxa"/>
            <w:vAlign w:val="bottom"/>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-2650490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-2650490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-1441450</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-1441450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-945515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-945515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0" w:name="page11"/>
    <w:bookmarkEnd w:id="10"/>
    <w:p>
      <w:pPr>
        <w:ind w:left="6"/>
        <w:spacing w:after="0"/>
        <w:rPr>
          <w:sz w:val="20"/>
          <w:szCs w:val="20"/>
          <w:color w:val="auto"/>
        </w:rPr>
      </w:pPr>
      <w:r>
        <w:rPr>
          <w:rFonts w:ascii="Times New Roman" w:cs="Times New Roman" w:eastAsia="Times New Roman" w:hAnsi="Times New Roman"/>
          <w:sz w:val="16"/>
          <w:szCs w:val="16"/>
          <w:b w:val="1"/>
          <w:bCs w:val="1"/>
          <w:color w:val="auto"/>
        </w:rPr>
        <w:t>Segment Results</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Retail</w:t>
      </w:r>
    </w:p>
    <w:p>
      <w:pPr>
        <w:spacing w:after="0" w:line="104" w:lineRule="exact"/>
        <w:rPr>
          <w:sz w:val="20"/>
          <w:szCs w:val="20"/>
          <w:color w:val="auto"/>
        </w:rPr>
      </w:pPr>
    </w:p>
    <w:p>
      <w:pPr>
        <w:ind w:left="6" w:right="20"/>
        <w:spacing w:after="0" w:line="276" w:lineRule="auto"/>
        <w:rPr>
          <w:sz w:val="20"/>
          <w:szCs w:val="20"/>
          <w:color w:val="auto"/>
        </w:rPr>
      </w:pPr>
      <w:r>
        <w:rPr>
          <w:rFonts w:ascii="Times New Roman" w:cs="Times New Roman" w:eastAsia="Times New Roman" w:hAnsi="Times New Roman"/>
          <w:sz w:val="16"/>
          <w:szCs w:val="16"/>
          <w:color w:val="auto"/>
        </w:rPr>
        <w:t>The following table highlights the results of operations and certain operating metrics of the Retail segment (in thousands, except for the number of retail sites and per gallon amounts):</w:t>
      </w:r>
    </w:p>
    <w:p>
      <w:pPr>
        <w:spacing w:after="0" w:line="45"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Pr>
          <w:p>
            <w:pPr>
              <w:spacing w:after="0"/>
              <w:rPr>
                <w:sz w:val="13"/>
                <w:szCs w:val="13"/>
                <w:color w:val="auto"/>
              </w:rPr>
            </w:pPr>
          </w:p>
        </w:tc>
        <w:tc>
          <w:tcPr>
            <w:tcW w:w="250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62"/>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6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362"/>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6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Motor fuel</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40,732</w:t>
            </w:r>
          </w:p>
        </w:tc>
        <w:tc>
          <w:tcPr>
            <w:tcW w:w="280" w:type="dxa"/>
            <w:vAlign w:val="bottom"/>
          </w:tcPr>
          <w:p>
            <w:pPr>
              <w:spacing w:after="0"/>
              <w:rPr>
                <w:sz w:val="16"/>
                <w:szCs w:val="16"/>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123,871</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Merchandise</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32,752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31,981</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90,730</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87,400</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Rent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revenue</w:t>
            </w: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15,190</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13,848</w:t>
            </w:r>
          </w:p>
        </w:tc>
        <w:tc>
          <w:tcPr>
            <w:tcW w:w="1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Total gross profit</w:t>
            </w:r>
          </w:p>
        </w:tc>
        <w:tc>
          <w:tcPr>
            <w:tcW w:w="20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78,007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79,985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238,000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219,271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(50,481)</w:t>
            </w: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(50,640)</w:t>
            </w:r>
          </w:p>
        </w:tc>
        <w:tc>
          <w:tcPr>
            <w:tcW w:w="2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(149,175)</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(153,172)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80" w:type="dxa"/>
            <w:vAlign w:val="bottom"/>
            <w:tcBorders>
              <w:top w:val="single" w:sz="8" w:color="CFF0FC"/>
            </w:tcBorders>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200" w:type="dxa"/>
            <w:vAlign w:val="bottom"/>
            <w:tcBorders>
              <w:top w:val="single" w:sz="8" w:color="auto"/>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27,526</w:t>
            </w:r>
          </w:p>
        </w:tc>
        <w:tc>
          <w:tcPr>
            <w:tcW w:w="28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29,345</w:t>
            </w: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88,825</w:t>
            </w:r>
          </w:p>
        </w:tc>
        <w:tc>
          <w:tcPr>
            <w:tcW w:w="28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66,099</w:t>
            </w:r>
          </w:p>
        </w:tc>
        <w:tc>
          <w:tcPr>
            <w:tcW w:w="1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5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Retail sites (end of period):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CFF0FC"/>
          </w:tcPr>
          <w:p>
            <w:pPr>
              <w:ind w:left="80"/>
              <w:spacing w:after="0" w:line="190" w:lineRule="exact"/>
              <w:rPr>
                <w:sz w:val="20"/>
                <w:szCs w:val="20"/>
                <w:color w:val="auto"/>
              </w:rPr>
            </w:pPr>
            <w:r>
              <w:rPr>
                <w:rFonts w:ascii="Times New Roman" w:cs="Times New Roman" w:eastAsia="Times New Roman" w:hAnsi="Times New Roman"/>
                <w:sz w:val="16"/>
                <w:szCs w:val="16"/>
                <w:color w:val="auto"/>
              </w:rPr>
              <w:t xml:space="preserve">Company operated retail sites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ind w:left="80"/>
              <w:spacing w:after="0" w:line="190" w:lineRule="exact"/>
              <w:rPr>
                <w:sz w:val="20"/>
                <w:szCs w:val="20"/>
                <w:color w:val="auto"/>
              </w:rPr>
            </w:pPr>
            <w:r>
              <w:rPr>
                <w:rFonts w:ascii="Times New Roman" w:cs="Times New Roman" w:eastAsia="Times New Roman" w:hAnsi="Times New Roman"/>
                <w:sz w:val="16"/>
                <w:szCs w:val="16"/>
                <w:color w:val="auto"/>
              </w:rPr>
              <w:t xml:space="preserve">Commission agents </w:t>
            </w:r>
            <w:r>
              <w:rPr>
                <w:rFonts w:ascii="Times New Roman" w:cs="Times New Roman" w:eastAsia="Times New Roman" w:hAnsi="Times New Roman"/>
                <w:sz w:val="21"/>
                <w:szCs w:val="21"/>
                <w:color w:val="auto"/>
                <w:vertAlign w:val="superscript"/>
              </w:rPr>
              <w:t>(b)</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tcBorders>
              <w:bottom w:val="single" w:sz="8" w:color="CFF0FC"/>
            </w:tcBorders>
            <w:shd w:val="clear" w:color="auto" w:fill="CFF0FC"/>
          </w:tcPr>
          <w:p>
            <w:pPr>
              <w:ind w:left="180"/>
              <w:spacing w:after="0" w:line="181" w:lineRule="exact"/>
              <w:rPr>
                <w:sz w:val="20"/>
                <w:szCs w:val="20"/>
                <w:color w:val="auto"/>
              </w:rPr>
            </w:pPr>
            <w:r>
              <w:rPr>
                <w:rFonts w:ascii="Times New Roman" w:cs="Times New Roman" w:eastAsia="Times New Roman" w:hAnsi="Times New Roman"/>
                <w:sz w:val="16"/>
                <w:szCs w:val="16"/>
                <w:color w:val="auto"/>
              </w:rPr>
              <w:t>Total retail sites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546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546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586</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retail segment statistics:</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Volume of gallons sold</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128,586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141,806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370,304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Same store total system gallons sold</w:t>
            </w:r>
            <w:r>
              <w:rPr>
                <w:rFonts w:ascii="Times New Roman" w:cs="Times New Roman" w:eastAsia="Times New Roman" w:hAnsi="Times New Roman"/>
                <w:sz w:val="21"/>
                <w:szCs w:val="21"/>
                <w:color w:val="auto"/>
                <w:vertAlign w:val="superscript"/>
              </w:rPr>
              <w:t>(c)</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123,182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133,082</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339,191</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371,660</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Average retail fuel sites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Margin per gallon, before deducting credit card fees</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and commissions</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0.384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0.444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0.365</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Company operated site statistics:</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Average retail fuel sites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Same store fuel volume</w:t>
            </w:r>
            <w:r>
              <w:rPr>
                <w:rFonts w:ascii="Times New Roman" w:cs="Times New Roman" w:eastAsia="Times New Roman" w:hAnsi="Times New Roman"/>
                <w:sz w:val="21"/>
                <w:szCs w:val="21"/>
                <w:color w:val="auto"/>
                <w:vertAlign w:val="superscript"/>
              </w:rPr>
              <w:t>(c)</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90,626</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95,276</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245,762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260,862</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Margin per gallon, before deducting credit card fees</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0.409</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0.402</w:t>
            </w:r>
          </w:p>
        </w:tc>
        <w:tc>
          <w:tcPr>
            <w:tcW w:w="280" w:type="dxa"/>
            <w:vAlign w:val="bottom"/>
          </w:tcPr>
          <w:p>
            <w:pPr>
              <w:spacing w:after="0"/>
              <w:rPr>
                <w:sz w:val="16"/>
                <w:szCs w:val="16"/>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Same store merchandise sales</w:t>
            </w:r>
            <w:r>
              <w:rPr>
                <w:rFonts w:ascii="Times New Roman" w:cs="Times New Roman" w:eastAsia="Times New Roman" w:hAnsi="Times New Roman"/>
                <w:sz w:val="21"/>
                <w:szCs w:val="21"/>
                <w:color w:val="auto"/>
                <w:vertAlign w:val="superscript"/>
              </w:rPr>
              <w:t>(c)</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101,819</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102,618</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276,412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276,356</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Same store merchandise sales excluding cigarettes</w:t>
            </w:r>
            <w:r>
              <w:rPr>
                <w:rFonts w:ascii="Times New Roman" w:cs="Times New Roman" w:eastAsia="Times New Roman" w:hAnsi="Times New Roman"/>
                <w:sz w:val="21"/>
                <w:szCs w:val="21"/>
                <w:color w:val="auto"/>
                <w:vertAlign w:val="superscript"/>
              </w:rPr>
              <w:t>(c)</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74,627</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74,351</w:t>
            </w:r>
          </w:p>
        </w:tc>
        <w:tc>
          <w:tcPr>
            <w:tcW w:w="280" w:type="dxa"/>
            <w:vAlign w:val="bottom"/>
          </w:tcPr>
          <w:p>
            <w:pPr>
              <w:spacing w:after="0"/>
              <w:rPr>
                <w:sz w:val="16"/>
                <w:szCs w:val="16"/>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200,741</w:t>
            </w:r>
          </w:p>
        </w:tc>
        <w:tc>
          <w:tcPr>
            <w:tcW w:w="28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Merchandise gross profit percentage</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30.3%</w:t>
            </w: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28.9%</w:t>
            </w:r>
          </w:p>
        </w:tc>
        <w:tc>
          <w:tcPr>
            <w:tcW w:w="2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29.8%</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Commission site statistics:</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Average retail fuel sites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Margin per gallon, before deducting credit card fees</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and commissions</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0.390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0.306</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4348480</wp:posOffset>
            </wp:positionH>
            <wp:positionV relativeFrom="paragraph">
              <wp:posOffset>-3431540</wp:posOffset>
            </wp:positionV>
            <wp:extent cx="977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-3431540</wp:posOffset>
            </wp:positionV>
            <wp:extent cx="977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-3431540</wp:posOffset>
            </wp:positionV>
            <wp:extent cx="977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-3431540</wp:posOffset>
            </wp:positionV>
            <wp:extent cx="977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-3183255</wp:posOffset>
            </wp:positionV>
            <wp:extent cx="977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-3183255</wp:posOffset>
            </wp:positionV>
            <wp:extent cx="977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-3183255</wp:posOffset>
            </wp:positionV>
            <wp:extent cx="9779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-3183255</wp:posOffset>
            </wp:positionV>
            <wp:extent cx="977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-2425065</wp:posOffset>
            </wp:positionV>
            <wp:extent cx="977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4348480</wp:posOffset>
            </wp:positionH>
            <wp:positionV relativeFrom="paragraph">
              <wp:posOffset>-2409825</wp:posOffset>
            </wp:positionV>
            <wp:extent cx="977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-2425065</wp:posOffset>
            </wp:positionV>
            <wp:extent cx="9779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-2409825</wp:posOffset>
            </wp:positionV>
            <wp:extent cx="977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-2425065</wp:posOffset>
            </wp:positionV>
            <wp:extent cx="977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6150610</wp:posOffset>
            </wp:positionH>
            <wp:positionV relativeFrom="paragraph">
              <wp:posOffset>-2409825</wp:posOffset>
            </wp:positionV>
            <wp:extent cx="9779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-2425065</wp:posOffset>
            </wp:positionV>
            <wp:extent cx="9779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790" cy="762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-2409825</wp:posOffset>
            </wp:positionV>
            <wp:extent cx="977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7790" cy="7620"/>
                    </a:xfrm>
                    <a:prstGeom prst="rect">
                      <a:avLst/>
                    </a:prstGeom>
                    <a:noFill/>
                  </pic:spPr>
                </pic:pic>
              </a:graphicData>
            </a:graphic>
          </wp:anchor>
        </w:drawing>
      </w:r>
    </w:p>
    <w:p>
      <w:pPr>
        <w:spacing w:after="0" w:line="153" w:lineRule="exact"/>
        <w:rPr>
          <w:sz w:val="20"/>
          <w:szCs w:val="20"/>
          <w:color w:val="auto"/>
        </w:rPr>
      </w:pPr>
    </w:p>
    <w:p>
      <w:pPr>
        <w:ind w:left="506" w:right="400" w:hanging="506"/>
        <w:spacing w:after="0" w:line="258" w:lineRule="auto"/>
        <w:tabs>
          <w:tab w:leader="none" w:pos="36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the company operated site count was primarily attributable to the sale of certain company operated sites in connection with CrossAmerica's real estate optimization effort.</w:t>
      </w:r>
    </w:p>
    <w:p>
      <w:pPr>
        <w:ind w:left="506" w:right="420" w:hanging="506"/>
        <w:spacing w:after="0" w:line="246" w:lineRule="auto"/>
        <w:tabs>
          <w:tab w:leader="none" w:pos="37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the commission agent site count was primarily attributable to the sale of certain commission agent sites in connection with CrossAmerica's real estate optimization effort.</w:t>
      </w:r>
    </w:p>
    <w:p>
      <w:pPr>
        <w:spacing w:after="0" w:line="1" w:lineRule="exact"/>
        <w:rPr>
          <w:rFonts w:ascii="Times New Roman" w:cs="Times New Roman" w:eastAsia="Times New Roman" w:hAnsi="Times New Roman"/>
          <w:sz w:val="16"/>
          <w:szCs w:val="16"/>
          <w:color w:val="auto"/>
        </w:rPr>
      </w:pPr>
    </w:p>
    <w:p>
      <w:pPr>
        <w:ind w:left="506" w:right="40" w:hanging="506"/>
        <w:spacing w:after="0" w:line="286" w:lineRule="auto"/>
        <w:tabs>
          <w:tab w:leader="none" w:pos="367"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Same store fuel volume and same store merchandise sales include aggregated individual store results for all stores that had fuel volume or merchandise sales and that were operated in the same class of trade for all months for both periods. Same store merchandise sales excludes other revenues such as lottery commissions and car wash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1067" w:right="319" w:bottom="1440" w:gutter="0" w:footer="0" w:header="0"/>
        </w:sectPr>
      </w:pPr>
    </w:p>
    <w:bookmarkStart w:id="11" w:name="page12"/>
    <w:bookmarkEnd w:id="11"/>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Wholesale</w:t>
      </w:r>
    </w:p>
    <w:p>
      <w:pPr>
        <w:spacing w:after="0" w:line="198" w:lineRule="exact"/>
        <w:rPr>
          <w:sz w:val="20"/>
          <w:szCs w:val="20"/>
          <w:color w:val="auto"/>
        </w:rPr>
      </w:pPr>
    </w:p>
    <w:p>
      <w:pPr>
        <w:ind w:left="6"/>
        <w:spacing w:after="0" w:line="276" w:lineRule="auto"/>
        <w:rPr>
          <w:sz w:val="20"/>
          <w:szCs w:val="20"/>
          <w:color w:val="auto"/>
        </w:rPr>
      </w:pPr>
      <w:r>
        <w:rPr>
          <w:rFonts w:ascii="Times New Roman" w:cs="Times New Roman" w:eastAsia="Times New Roman" w:hAnsi="Times New Roman"/>
          <w:sz w:val="16"/>
          <w:szCs w:val="16"/>
          <w:color w:val="auto"/>
        </w:rPr>
        <w:t>The following table highlights the results of operations and certain operating metrics of the Wholesale segment (thousands of dollars, except for the number of distribution sites and per gallon amounts):</w:t>
      </w:r>
    </w:p>
    <w:p>
      <w:pPr>
        <w:spacing w:after="0" w:line="45"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Gross profit:</w:t>
            </w: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Motor fuel gross profit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14,367</w:t>
            </w:r>
          </w:p>
        </w:tc>
        <w:tc>
          <w:tcPr>
            <w:tcW w:w="22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15,718</w:t>
            </w:r>
          </w:p>
        </w:tc>
        <w:tc>
          <w:tcPr>
            <w:tcW w:w="1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46,621</w:t>
            </w:r>
          </w:p>
        </w:tc>
        <w:tc>
          <w:tcPr>
            <w:tcW w:w="24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Rent gross profit</w:t>
            </w: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7,846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23,637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25,854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revenues</w:t>
            </w:r>
          </w:p>
        </w:tc>
        <w:tc>
          <w:tcPr>
            <w:tcW w:w="1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60" w:type="dxa"/>
            <w:vAlign w:val="bottom"/>
            <w:shd w:val="clear" w:color="auto" w:fill="CFF0FC"/>
          </w:tcPr>
          <w:p>
            <w:pPr>
              <w:ind w:left="180"/>
              <w:spacing w:after="0" w:line="181" w:lineRule="exact"/>
              <w:rPr>
                <w:sz w:val="20"/>
                <w:szCs w:val="20"/>
                <w:color w:val="auto"/>
              </w:rPr>
            </w:pPr>
            <w:r>
              <w:rPr>
                <w:rFonts w:ascii="Times New Roman" w:cs="Times New Roman" w:eastAsia="Times New Roman" w:hAnsi="Times New Roman"/>
                <w:sz w:val="16"/>
                <w:szCs w:val="16"/>
                <w:color w:val="auto"/>
              </w:rPr>
              <w:t>Total gross profit</w:t>
            </w:r>
          </w:p>
        </w:tc>
        <w:tc>
          <w:tcPr>
            <w:tcW w:w="1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23,119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24,785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73,536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76,305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(5,793)</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(18,560)</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154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17,326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17,884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54,976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55,113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46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shd w:val="clear" w:color="auto" w:fill="CFF0FC"/>
          </w:tcPr>
          <w:p>
            <w:pPr>
              <w:spacing w:after="0" w:line="190" w:lineRule="exact"/>
              <w:rPr>
                <w:sz w:val="20"/>
                <w:szCs w:val="20"/>
                <w:color w:val="auto"/>
              </w:rPr>
            </w:pPr>
            <w:r>
              <w:rPr>
                <w:rFonts w:ascii="Times New Roman" w:cs="Times New Roman" w:eastAsia="Times New Roman" w:hAnsi="Times New Roman"/>
                <w:sz w:val="16"/>
                <w:szCs w:val="16"/>
                <w:b w:val="1"/>
                <w:bCs w:val="1"/>
                <w:color w:val="auto"/>
              </w:rPr>
              <w:t xml:space="preserve">Motor fuel distribution sites (end of period): </w:t>
            </w:r>
            <w:r>
              <w:rPr>
                <w:rFonts w:ascii="Times New Roman" w:cs="Times New Roman" w:eastAsia="Times New Roman" w:hAnsi="Times New Roman"/>
                <w:sz w:val="21"/>
                <w:szCs w:val="21"/>
                <w:color w:val="auto"/>
                <w:vertAlign w:val="superscript"/>
              </w:rPr>
              <w:t>(a)</w:t>
            </w: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Pr>
          <w:p>
            <w:pPr>
              <w:ind w:left="80"/>
              <w:spacing w:after="0" w:line="190" w:lineRule="exact"/>
              <w:rPr>
                <w:sz w:val="20"/>
                <w:szCs w:val="20"/>
                <w:color w:val="auto"/>
              </w:rPr>
            </w:pPr>
            <w:r>
              <w:rPr>
                <w:rFonts w:ascii="Times New Roman" w:cs="Times New Roman" w:eastAsia="Times New Roman" w:hAnsi="Times New Roman"/>
                <w:sz w:val="16"/>
                <w:szCs w:val="16"/>
                <w:color w:val="auto"/>
              </w:rPr>
              <w:t xml:space="preserve">Independent dealers </w:t>
            </w:r>
            <w:r>
              <w:rPr>
                <w:rFonts w:ascii="Times New Roman" w:cs="Times New Roman" w:eastAsia="Times New Roman" w:hAnsi="Times New Roman"/>
                <w:sz w:val="21"/>
                <w:szCs w:val="21"/>
                <w:color w:val="auto"/>
                <w:vertAlign w:val="superscript"/>
              </w:rPr>
              <w:t>(b)</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tcBorders>
              <w:bottom w:val="single" w:sz="8" w:color="CFF0FC"/>
            </w:tcBorders>
            <w:shd w:val="clear" w:color="auto" w:fill="CFF0FC"/>
          </w:tcPr>
          <w:p>
            <w:pPr>
              <w:ind w:left="80"/>
              <w:spacing w:after="0" w:line="190" w:lineRule="exact"/>
              <w:rPr>
                <w:sz w:val="20"/>
                <w:szCs w:val="20"/>
                <w:color w:val="auto"/>
              </w:rPr>
            </w:pPr>
            <w:r>
              <w:rPr>
                <w:rFonts w:ascii="Times New Roman" w:cs="Times New Roman" w:eastAsia="Times New Roman" w:hAnsi="Times New Roman"/>
                <w:sz w:val="16"/>
                <w:szCs w:val="16"/>
                <w:color w:val="auto"/>
              </w:rPr>
              <w:t xml:space="preserve">Lessee dealers </w:t>
            </w:r>
            <w:r>
              <w:rPr>
                <w:rFonts w:ascii="Times New Roman" w:cs="Times New Roman" w:eastAsia="Times New Roman" w:hAnsi="Times New Roman"/>
                <w:sz w:val="21"/>
                <w:szCs w:val="21"/>
                <w:color w:val="auto"/>
                <w:vertAlign w:val="superscript"/>
              </w:rPr>
              <w:t>(c)</w:t>
            </w:r>
          </w:p>
        </w:tc>
        <w:tc>
          <w:tcPr>
            <w:tcW w:w="13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6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Total motor fuel distribution sites</w:t>
            </w:r>
          </w:p>
        </w:tc>
        <w:tc>
          <w:tcPr>
            <w:tcW w:w="1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971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971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44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Average motor fuel distribution sites</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Volume of gallons distributed</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162,775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476,639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4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Margin per gallon</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0.088</w:t>
            </w:r>
          </w:p>
        </w:tc>
        <w:tc>
          <w:tcPr>
            <w:tcW w:w="2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0.088</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0.098</w:t>
            </w:r>
          </w:p>
        </w:tc>
        <w:tc>
          <w:tcPr>
            <w:tcW w:w="24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-1385570</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-1370965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-1385570</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-1370965</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-1385570</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-1370965</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-1385570</wp:posOffset>
            </wp:positionV>
            <wp:extent cx="7493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-1370965</wp:posOffset>
            </wp:positionV>
            <wp:extent cx="749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-882650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-882650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-882650</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-882650</wp:posOffset>
            </wp:positionV>
            <wp:extent cx="749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33" w:lineRule="exact"/>
        <w:rPr>
          <w:sz w:val="20"/>
          <w:szCs w:val="20"/>
          <w:color w:val="auto"/>
        </w:rPr>
      </w:pPr>
    </w:p>
    <w:p>
      <w:pPr>
        <w:ind w:left="366" w:hanging="366"/>
        <w:spacing w:after="0"/>
        <w:tabs>
          <w:tab w:leader="none" w:pos="36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CrossAmerica distributed motor fuel to sub-wholesalers who distributed to additional sites.</w:t>
      </w:r>
    </w:p>
    <w:p>
      <w:pPr>
        <w:spacing w:after="0" w:line="22" w:lineRule="exact"/>
        <w:rPr>
          <w:rFonts w:ascii="Times New Roman" w:cs="Times New Roman" w:eastAsia="Times New Roman" w:hAnsi="Times New Roman"/>
          <w:sz w:val="16"/>
          <w:szCs w:val="16"/>
          <w:color w:val="auto"/>
        </w:rPr>
      </w:pPr>
    </w:p>
    <w:p>
      <w:pPr>
        <w:ind w:left="506" w:right="420" w:hanging="506"/>
        <w:spacing w:after="0" w:line="246" w:lineRule="auto"/>
        <w:tabs>
          <w:tab w:leader="none" w:pos="37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the independent dealer site count was primarily attributable to the sale of certain lessee dealer, company operated and commission agent sites but with continued fuel supply, partially offset by the net loss of independent dealer contracts.</w:t>
      </w:r>
    </w:p>
    <w:p>
      <w:pPr>
        <w:spacing w:after="0" w:line="1" w:lineRule="exact"/>
        <w:rPr>
          <w:rFonts w:ascii="Times New Roman" w:cs="Times New Roman" w:eastAsia="Times New Roman" w:hAnsi="Times New Roman"/>
          <w:sz w:val="16"/>
          <w:szCs w:val="16"/>
          <w:color w:val="auto"/>
        </w:rPr>
      </w:pPr>
    </w:p>
    <w:p>
      <w:pPr>
        <w:ind w:left="506" w:right="280" w:hanging="506"/>
        <w:spacing w:after="0" w:line="253" w:lineRule="auto"/>
        <w:tabs>
          <w:tab w:leader="none" w:pos="36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the lessee dealer site count was primarily attributable to the sale of certain lessee dealer sites in connection with CrossAmerica's real estate optimization effort (generally with continued fuel supply, thereby converting the site to an independent dealer site).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106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Supplemental Disclosure Regarding Non-GAAP Financial Measures</w:t>
      </w:r>
    </w:p>
    <w:p>
      <w:pPr>
        <w:spacing w:after="0" w:line="19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CrossAmerica uses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EBITDA, Adjusted EBITDA, Distributable Cash Flow and Distribution Coverage Ratio are used as supplemental financial measures by management and by external users of our financial statements, such as investors and lenders. EBITDA and Adjusted EBITDA are used to assess CrossAmerica’s financial performance without regard to financing methods, capital structure or income taxes and the ability to incur and service debt and to fund capital expenditures. In addition, Adjusted EBITDA is used to assess the operating performance of the Partnership’s business on a consistent basis by excluding the impact of items which do not result directly from the wholesale distribution of motor fuel, the leasing of real property, or the day-to-day operations of CrossAmerica’s retail site activities. EBITDA, Adjusted EBITDA, Distributable Cash Flow and Distribution Coverage Ratio are also used to assess the ability to generate cash sufficient to make distributions to CrossAmerica’s unitholders.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CrossAmerica believes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the industry, CrossAmerica’s definitions may not be comparable to similarly titled measures of other companies, thereby diminishing their utility.</w:t>
      </w:r>
    </w:p>
    <w:p>
      <w:pPr>
        <w:spacing w:after="0" w:line="16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following table presents reconciliations of EBITDA, Adjusted EBITDA, and Distributable Cash Flow to net income (loss), the most directly comparable U.S. GAAP financial measure, for each of the periods indicated (in thousands, except for Distribution Coverage Ratio):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22"/>
        </w:trPr>
        <w:tc>
          <w:tcPr>
            <w:tcW w:w="4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0"/>
                <w:szCs w:val="10"/>
                <w:color w:val="auto"/>
              </w:rPr>
            </w:pPr>
          </w:p>
        </w:tc>
      </w:tr>
      <w:tr>
        <w:trPr>
          <w:trHeight w:val="181"/>
        </w:trPr>
        <w:tc>
          <w:tcPr>
            <w:tcW w:w="4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132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8,766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13,588</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40,237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31,641</w:t>
            </w:r>
          </w:p>
        </w:tc>
        <w:tc>
          <w:tcPr>
            <w:tcW w:w="120" w:type="dxa"/>
            <w:vAlign w:val="bottom"/>
            <w:shd w:val="clear" w:color="auto" w:fill="CFF0FC"/>
          </w:tcPr>
          <w:p>
            <w:pPr>
              <w:spacing w:after="0"/>
              <w:rPr>
                <w:sz w:val="15"/>
                <w:szCs w:val="15"/>
                <w:color w:val="auto"/>
              </w:rPr>
            </w:pPr>
          </w:p>
        </w:tc>
      </w:tr>
      <w:tr>
        <w:trPr>
          <w:trHeight w:val="189"/>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37,199</w:t>
            </w:r>
          </w:p>
        </w:tc>
        <w:tc>
          <w:tcPr>
            <w:tcW w:w="120" w:type="dxa"/>
            <w:vAlign w:val="bottom"/>
          </w:tcPr>
          <w:p>
            <w:pPr>
              <w:spacing w:after="0"/>
              <w:rPr>
                <w:sz w:val="16"/>
                <w:szCs w:val="16"/>
                <w:color w:val="auto"/>
              </w:rPr>
            </w:pPr>
          </w:p>
        </w:tc>
      </w:tr>
      <w:tr>
        <w:trPr>
          <w:trHeight w:val="189"/>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20" w:type="dxa"/>
            <w:vAlign w:val="bottom"/>
            <w:shd w:val="clear" w:color="auto" w:fill="CFF0FC"/>
          </w:tcPr>
          <w:p>
            <w:pPr>
              <w:spacing w:after="0"/>
              <w:rPr>
                <w:sz w:val="16"/>
                <w:szCs w:val="16"/>
                <w:color w:val="auto"/>
              </w:rPr>
            </w:pPr>
          </w:p>
        </w:tc>
      </w:tr>
      <w:tr>
        <w:trPr>
          <w:trHeight w:val="189"/>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amortization and accretion expense</w:t>
            </w:r>
          </w:p>
        </w:tc>
        <w:tc>
          <w:tcPr>
            <w:tcW w:w="1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16,843</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69,671</w:t>
            </w:r>
          </w:p>
        </w:tc>
        <w:tc>
          <w:tcPr>
            <w:tcW w:w="120" w:type="dxa"/>
            <w:vAlign w:val="bottom"/>
          </w:tcPr>
          <w:p>
            <w:pPr>
              <w:spacing w:after="0"/>
              <w:rPr>
                <w:sz w:val="16"/>
                <w:szCs w:val="16"/>
                <w:color w:val="auto"/>
              </w:rPr>
            </w:pPr>
          </w:p>
        </w:tc>
      </w:tr>
      <w:tr>
        <w:trPr>
          <w:trHeight w:val="181"/>
        </w:trPr>
        <w:tc>
          <w:tcPr>
            <w:tcW w:w="4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EBITDA</w:t>
            </w:r>
          </w:p>
        </w:tc>
        <w:tc>
          <w:tcPr>
            <w:tcW w:w="1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40,792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48,272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134,013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141,674</w:t>
            </w:r>
          </w:p>
        </w:tc>
        <w:tc>
          <w:tcPr>
            <w:tcW w:w="120" w:type="dxa"/>
            <w:vAlign w:val="bottom"/>
            <w:shd w:val="clear" w:color="auto" w:fill="CFF0FC"/>
          </w:tcPr>
          <w:p>
            <w:pPr>
              <w:spacing w:after="0"/>
              <w:rPr>
                <w:sz w:val="15"/>
                <w:szCs w:val="15"/>
                <w:color w:val="auto"/>
              </w:rPr>
            </w:pPr>
          </w:p>
        </w:tc>
      </w:tr>
      <w:tr>
        <w:trPr>
          <w:trHeight w:val="189"/>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Equity-based employee and director compensation expense</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20" w:type="dxa"/>
            <w:vAlign w:val="bottom"/>
          </w:tcPr>
          <w:p>
            <w:pPr>
              <w:spacing w:after="0"/>
              <w:rPr>
                <w:sz w:val="16"/>
                <w:szCs w:val="16"/>
                <w:color w:val="auto"/>
              </w:rPr>
            </w:pPr>
          </w:p>
        </w:tc>
      </w:tr>
      <w:tr>
        <w:trPr>
          <w:trHeight w:val="189"/>
        </w:trPr>
        <w:tc>
          <w:tcPr>
            <w:tcW w:w="4700" w:type="dxa"/>
            <w:vAlign w:val="bottom"/>
            <w:shd w:val="clear" w:color="auto" w:fill="CFF0FC"/>
          </w:tcPr>
          <w:p>
            <w:pPr>
              <w:ind w:left="100"/>
              <w:spacing w:after="0" w:line="190" w:lineRule="exact"/>
              <w:rPr>
                <w:sz w:val="20"/>
                <w:szCs w:val="20"/>
                <w:color w:val="auto"/>
              </w:rPr>
            </w:pPr>
            <w:r>
              <w:rPr>
                <w:rFonts w:ascii="Times New Roman" w:cs="Times New Roman" w:eastAsia="Times New Roman" w:hAnsi="Times New Roman"/>
                <w:sz w:val="16"/>
                <w:szCs w:val="16"/>
                <w:color w:val="auto"/>
              </w:rPr>
              <w:t xml:space="preserve">Gain on dispositions and lease terminations, net </w:t>
            </w:r>
            <w:r>
              <w:rPr>
                <w:rFonts w:ascii="Times New Roman" w:cs="Times New Roman" w:eastAsia="Times New Roman" w:hAnsi="Times New Roman"/>
                <w:sz w:val="21"/>
                <w:szCs w:val="21"/>
                <w:color w:val="auto"/>
                <w:vertAlign w:val="superscript"/>
              </w:rPr>
              <w:t>(a)</w:t>
            </w: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(2,415)</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(7,387)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(9,618)</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(40,789)</w:t>
            </w:r>
          </w:p>
        </w:tc>
      </w:tr>
      <w:tr>
        <w:trPr>
          <w:trHeight w:val="189"/>
        </w:trPr>
        <w:tc>
          <w:tcPr>
            <w:tcW w:w="4700" w:type="dxa"/>
            <w:vAlign w:val="bottom"/>
          </w:tcPr>
          <w:p>
            <w:pPr>
              <w:ind w:left="100"/>
              <w:spacing w:after="0" w:line="190" w:lineRule="exact"/>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(b)</w:t>
            </w:r>
          </w:p>
        </w:tc>
        <w:tc>
          <w:tcPr>
            <w:tcW w:w="1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16"/>
                <w:szCs w:val="16"/>
                <w:color w:val="auto"/>
              </w:rPr>
            </w:pPr>
          </w:p>
        </w:tc>
      </w:tr>
      <w:tr>
        <w:trPr>
          <w:trHeight w:val="181"/>
        </w:trPr>
        <w:tc>
          <w:tcPr>
            <w:tcW w:w="4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Adjusted EBITDA</w:t>
            </w:r>
          </w:p>
        </w:tc>
        <w:tc>
          <w:tcPr>
            <w:tcW w:w="1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38,705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41,309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125,555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102,661</w:t>
            </w:r>
          </w:p>
        </w:tc>
        <w:tc>
          <w:tcPr>
            <w:tcW w:w="120" w:type="dxa"/>
            <w:vAlign w:val="bottom"/>
            <w:shd w:val="clear" w:color="auto" w:fill="CFF0FC"/>
          </w:tcPr>
          <w:p>
            <w:pPr>
              <w:spacing w:after="0"/>
              <w:rPr>
                <w:sz w:val="15"/>
                <w:szCs w:val="15"/>
                <w:color w:val="auto"/>
              </w:rPr>
            </w:pPr>
          </w:p>
        </w:tc>
      </w:tr>
      <w:tr>
        <w:trPr>
          <w:trHeight w:val="189"/>
        </w:trPr>
        <w:tc>
          <w:tcPr>
            <w:tcW w:w="4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interest expense</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(10,708)</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(31,831)</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(35,745)</w:t>
            </w:r>
          </w:p>
        </w:tc>
      </w:tr>
      <w:tr>
        <w:trPr>
          <w:trHeight w:val="189"/>
        </w:trPr>
        <w:tc>
          <w:tcPr>
            <w:tcW w:w="4700" w:type="dxa"/>
            <w:vAlign w:val="bottom"/>
            <w:shd w:val="clear" w:color="auto" w:fill="CFF0FC"/>
          </w:tcPr>
          <w:p>
            <w:pPr>
              <w:ind w:left="100"/>
              <w:spacing w:after="0" w:line="190" w:lineRule="exact"/>
              <w:rPr>
                <w:sz w:val="20"/>
                <w:szCs w:val="20"/>
                <w:color w:val="auto"/>
              </w:rPr>
            </w:pPr>
            <w:r>
              <w:rPr>
                <w:rFonts w:ascii="Times New Roman" w:cs="Times New Roman" w:eastAsia="Times New Roman" w:hAnsi="Times New Roman"/>
                <w:sz w:val="16"/>
                <w:szCs w:val="16"/>
                <w:color w:val="auto"/>
              </w:rPr>
              <w:t xml:space="preserve">Sustaining capital expenditures </w:t>
            </w:r>
            <w:r>
              <w:rPr>
                <w:rFonts w:ascii="Times New Roman" w:cs="Times New Roman" w:eastAsia="Times New Roman" w:hAnsi="Times New Roman"/>
                <w:sz w:val="21"/>
                <w:szCs w:val="21"/>
                <w:color w:val="auto"/>
                <w:vertAlign w:val="superscript"/>
              </w:rPr>
              <w:t>(c)</w:t>
            </w:r>
          </w:p>
        </w:tc>
        <w:tc>
          <w:tcPr>
            <w:tcW w:w="1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(5,311)</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(1,853)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(11,613)</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(7,124)</w:t>
            </w:r>
          </w:p>
        </w:tc>
      </w:tr>
      <w:tr>
        <w:trPr>
          <w:trHeight w:val="189"/>
        </w:trPr>
        <w:tc>
          <w:tcPr>
            <w:tcW w:w="4700" w:type="dxa"/>
            <w:vAlign w:val="bottom"/>
          </w:tcPr>
          <w:p>
            <w:pPr>
              <w:ind w:left="100"/>
              <w:spacing w:after="0" w:line="190" w:lineRule="exact"/>
              <w:rPr>
                <w:sz w:val="20"/>
                <w:szCs w:val="20"/>
                <w:color w:val="auto"/>
              </w:rPr>
            </w:pPr>
            <w:r>
              <w:rPr>
                <w:rFonts w:ascii="Times New Roman" w:cs="Times New Roman" w:eastAsia="Times New Roman" w:hAnsi="Times New Roman"/>
                <w:sz w:val="16"/>
                <w:szCs w:val="16"/>
                <w:color w:val="auto"/>
              </w:rPr>
              <w:t xml:space="preserve">Current income tax expense </w:t>
            </w:r>
            <w:r>
              <w:rPr>
                <w:rFonts w:ascii="Times New Roman" w:cs="Times New Roman" w:eastAsia="Times New Roman" w:hAnsi="Times New Roman"/>
                <w:sz w:val="21"/>
                <w:szCs w:val="21"/>
                <w:color w:val="auto"/>
                <w:vertAlign w:val="superscript"/>
              </w:rPr>
              <w:t>(d)</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(849)</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(5,191)</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(528)</w:t>
            </w:r>
          </w:p>
        </w:tc>
      </w:tr>
      <w:tr>
        <w:trPr>
          <w:trHeight w:val="20"/>
        </w:trPr>
        <w:tc>
          <w:tcPr>
            <w:tcW w:w="4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4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Distributable Cash Flow</w:t>
            </w:r>
          </w:p>
        </w:tc>
        <w:tc>
          <w:tcPr>
            <w:tcW w:w="132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21,837</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27,773</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76,920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59,264</w:t>
            </w:r>
          </w:p>
        </w:tc>
        <w:tc>
          <w:tcPr>
            <w:tcW w:w="120" w:type="dxa"/>
            <w:vAlign w:val="bottom"/>
            <w:shd w:val="clear" w:color="auto" w:fill="CFF0FC"/>
          </w:tcPr>
          <w:p>
            <w:pPr>
              <w:spacing w:after="0"/>
              <w:rPr>
                <w:sz w:val="15"/>
                <w:szCs w:val="15"/>
                <w:color w:val="auto"/>
              </w:rPr>
            </w:pPr>
          </w:p>
        </w:tc>
      </w:tr>
      <w:tr>
        <w:trPr>
          <w:trHeight w:val="18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 on common units</w:t>
            </w:r>
          </w:p>
        </w:tc>
        <w:tc>
          <w:tcPr>
            <w:tcW w:w="1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20,041</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60,093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59,994</w:t>
            </w:r>
          </w:p>
        </w:tc>
        <w:tc>
          <w:tcPr>
            <w:tcW w:w="120" w:type="dxa"/>
            <w:vAlign w:val="bottom"/>
          </w:tcPr>
          <w:p>
            <w:pPr>
              <w:spacing w:after="0"/>
              <w:rPr>
                <w:sz w:val="16"/>
                <w:szCs w:val="16"/>
                <w:color w:val="auto"/>
              </w:rPr>
            </w:pPr>
          </w:p>
        </w:tc>
      </w:tr>
      <w:tr>
        <w:trPr>
          <w:trHeight w:val="221"/>
        </w:trPr>
        <w:tc>
          <w:tcPr>
            <w:tcW w:w="4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Distribution Coverage Ratio</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1.09x</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1.39x</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1.28x</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0.99x</w:t>
            </w:r>
          </w:p>
        </w:tc>
      </w:tr>
      <w:tr>
        <w:trPr>
          <w:trHeight w:val="355"/>
        </w:trPr>
        <w:tc>
          <w:tcPr>
            <w:tcW w:w="47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854"/>
        </w:trPr>
        <w:tc>
          <w:tcPr>
            <w:tcW w:w="47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-817880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-802640</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-817880</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-802640</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-817880</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-802640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-817880</wp:posOffset>
            </wp:positionV>
            <wp:extent cx="7493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-802640</wp:posOffset>
            </wp:positionV>
            <wp:extent cx="7493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3" w:name="page14"/>
    <w:bookmarkEnd w:id="13"/>
    <w:p>
      <w:pPr>
        <w:ind w:left="506" w:right="640" w:hanging="506"/>
        <w:spacing w:after="0" w:line="258" w:lineRule="auto"/>
        <w:tabs>
          <w:tab w:leader="none" w:pos="3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net gains in connection with CrossAmerica's ongoing real estate optimization effort of $2.9 million and $7.4 million for the three months ended September 30, 2026, and 2025, and $10.3 million and $42.5 million for the nine months ended September 30, 2026, and 2025, respectively.</w:t>
      </w:r>
    </w:p>
    <w:p>
      <w:pPr>
        <w:ind w:left="506" w:right="220" w:hanging="506"/>
        <w:spacing w:after="0" w:line="246" w:lineRule="auto"/>
        <w:tabs>
          <w:tab w:leader="none" w:pos="37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certain acquisition-related costs, such as legal and other professional fees, separation benefit costs and purchase accounting adjustments associated with recent acquisitions.</w:t>
      </w:r>
    </w:p>
    <w:p>
      <w:pPr>
        <w:spacing w:after="0" w:line="1" w:lineRule="exact"/>
        <w:rPr>
          <w:rFonts w:ascii="Times New Roman" w:cs="Times New Roman" w:eastAsia="Times New Roman" w:hAnsi="Times New Roman"/>
          <w:sz w:val="16"/>
          <w:szCs w:val="16"/>
          <w:color w:val="auto"/>
        </w:rPr>
      </w:pPr>
    </w:p>
    <w:p>
      <w:pPr>
        <w:ind w:left="506" w:right="280" w:hanging="506"/>
        <w:spacing w:after="0" w:line="246" w:lineRule="auto"/>
        <w:tabs>
          <w:tab w:leader="none" w:pos="3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Partnership Agreement, sustaining capital expenditures are capital expenditures made to maintain CrossAmerica's long-term operating income or operating capacity. Examples of sustaining capital expenditures are those made to maintain existing contract volumes or to maintain the sites in conditions suitable to operate or lease, such as parking lot or roof replacement/renovation, or to replace equipment required to operate the existing business.</w:t>
      </w:r>
    </w:p>
    <w:p>
      <w:pPr>
        <w:spacing w:after="0" w:line="1" w:lineRule="exact"/>
        <w:rPr>
          <w:rFonts w:ascii="Times New Roman" w:cs="Times New Roman" w:eastAsia="Times New Roman" w:hAnsi="Times New Roman"/>
          <w:sz w:val="16"/>
          <w:szCs w:val="16"/>
          <w:color w:val="auto"/>
        </w:rPr>
      </w:pPr>
    </w:p>
    <w:p>
      <w:pPr>
        <w:ind w:left="386" w:hanging="385"/>
        <w:spacing w:after="0"/>
        <w:tabs>
          <w:tab w:leader="none" w:pos="38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current income tax expense incurred on the sales of sites.</w:t>
      </w:r>
    </w:p>
    <w:p>
      <w:pPr>
        <w:spacing w:after="0" w:line="200" w:lineRule="exact"/>
        <w:rPr>
          <w:sz w:val="20"/>
          <w:szCs w:val="20"/>
          <w:color w:val="auto"/>
        </w:rPr>
      </w:pPr>
    </w:p>
    <w:p>
      <w:pPr>
        <w:spacing w:after="0" w:line="3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About CrossAmerica Partners LP</w:t>
      </w:r>
    </w:p>
    <w:p>
      <w:pPr>
        <w:spacing w:after="0" w:line="149" w:lineRule="exact"/>
        <w:rPr>
          <w:sz w:val="20"/>
          <w:szCs w:val="20"/>
          <w:color w:val="auto"/>
        </w:rPr>
      </w:pPr>
    </w:p>
    <w:p>
      <w:pPr>
        <w:jc w:val="both"/>
        <w:ind w:left="6"/>
        <w:spacing w:after="0" w:line="251" w:lineRule="auto"/>
        <w:rPr>
          <w:sz w:val="20"/>
          <w:szCs w:val="20"/>
          <w:color w:val="auto"/>
        </w:rPr>
      </w:pPr>
      <w:r>
        <w:rPr>
          <w:rFonts w:ascii="Times New Roman" w:cs="Times New Roman" w:eastAsia="Times New Roman" w:hAnsi="Times New Roman"/>
          <w:sz w:val="16"/>
          <w:szCs w:val="16"/>
          <w:color w:val="auto"/>
        </w:rPr>
        <w:t>CrossAmerica Partners LP is a leading wholesale distributor of motor fuels, convenience store operator, and owner and lessee of real estate used in the retail distribution of motor fuels. Its general partner, CrossAmerica GP LLC, is indirectly owned and controlled by entities affiliated with Joseph V. Topper, Jr., the founder of CrossAmerica Partners and a member of the board of the general partner since 2012. Formed in 2012, CrossAmerica Partners LP is a distributor of branded and unbranded petroleum for motor vehicles in the United States and distributes fuel to approximately 1,500 locations and owns or leases approximately 900 sites. With a geographic footprint covering 34 states, the Partnership has well-established relationships with several major oil brands, including ExxonMobil, BP, Shell, Marathon, Valero, Phillips 66 and other major brands. CrossAmerica Partners LP ranks as one of ExxonMobil’s largest distributors by fuel volume in the United States and in the top 10 for additional brands. For additional information, please visit www.crossamericapartners.com.</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149" w:lineRule="exact"/>
        <w:rPr>
          <w:sz w:val="20"/>
          <w:szCs w:val="20"/>
          <w:color w:val="auto"/>
        </w:rPr>
      </w:pPr>
    </w:p>
    <w:p>
      <w:pPr>
        <w:ind w:left="6"/>
        <w:spacing w:after="0"/>
        <w:tabs>
          <w:tab w:leader="none" w:pos="1405" w:val="left"/>
        </w:tabs>
        <w:rPr>
          <w:sz w:val="20"/>
          <w:szCs w:val="20"/>
          <w:color w:val="auto"/>
        </w:rPr>
      </w:pPr>
      <w:r>
        <w:rPr>
          <w:rFonts w:ascii="Times New Roman" w:cs="Times New Roman" w:eastAsia="Times New Roman" w:hAnsi="Times New Roman"/>
          <w:sz w:val="16"/>
          <w:szCs w:val="16"/>
          <w:color w:val="auto"/>
        </w:rPr>
        <w:t>Investor Relations:</w:t>
      </w:r>
      <w:r>
        <w:rPr>
          <w:sz w:val="20"/>
          <w:szCs w:val="20"/>
          <w:color w:val="auto"/>
        </w:rPr>
        <w:tab/>
      </w:r>
      <w:r>
        <w:rPr>
          <w:rFonts w:ascii="Times New Roman" w:cs="Times New Roman" w:eastAsia="Times New Roman" w:hAnsi="Times New Roman"/>
          <w:sz w:val="15"/>
          <w:szCs w:val="15"/>
          <w:color w:val="auto"/>
        </w:rPr>
        <w:t>Randy Palmer, rpalmer@caplp.com or 610-625-8000</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49" w:lineRule="exact"/>
        <w:rPr>
          <w:sz w:val="20"/>
          <w:szCs w:val="20"/>
          <w:color w:val="auto"/>
        </w:rPr>
      </w:pPr>
    </w:p>
    <w:p>
      <w:pPr>
        <w:jc w:val="both"/>
        <w:ind w:left="6"/>
        <w:spacing w:after="0" w:line="252" w:lineRule="auto"/>
        <w:rPr>
          <w:sz w:val="20"/>
          <w:szCs w:val="20"/>
          <w:color w:val="auto"/>
        </w:rPr>
      </w:pPr>
      <w:r>
        <w:rPr>
          <w:rFonts w:ascii="Times New Roman" w:cs="Times New Roman" w:eastAsia="Times New Roman" w:hAnsi="Times New Roman"/>
          <w:sz w:val="16"/>
          <w:szCs w:val="16"/>
          <w:color w:val="auto"/>
        </w:rPr>
        <w:t>Statements contained in this release that state the Partnership’s or management’s expectations or predictions of the future are forward-looking statements. The words “believe,” “expect,” “should,” “intends,” “estimates,” “target”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Form 10-K or Forms 10-Q filed with the Securities and Exchange Commission, and available on CrossAmerica’s website at www.crossamericapartners.com. The Partnership undertakes no obligation to publicly update or revise any statements in this release, whether as a result of new information, future events or otherwise.</w:t>
      </w:r>
    </w:p>
    <w:p>
      <w:pPr>
        <w:spacing w:after="0" w:line="35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6"/>
          </w:cols>
          <w:pgMar w:left="314" w:top="1069"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90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2026-11-04T15:50:05Z</dcterms:created>
  <dcterms:modified xsi:type="dcterms:W3CDTF">2026-11-04T15:50:05Z</dcterms:modified>
</cp:coreProperties>
</file>