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22, 2026</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CrossAmerica Partners LP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089" w:right="339" w:bottom="1440" w:gutter="0" w:footer="0" w:header="0"/>
        </w:sectPr>
      </w:pPr>
    </w:p>
    <w:p>
      <w:pPr>
        <w:spacing w:after="0" w:line="134"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001-35711</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45-4165414</w:t>
      </w:r>
    </w:p>
    <w:p>
      <w:pPr>
        <w:spacing w:after="0" w:line="31"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46" w:lineRule="exact"/>
        <w:rPr>
          <w:sz w:val="24"/>
          <w:szCs w:val="24"/>
          <w:color w:val="auto"/>
        </w:rPr>
      </w:pPr>
    </w:p>
    <w:p>
      <w:pPr>
        <w:sectPr>
          <w:pgSz w:w="11900" w:h="16838" w:orient="portrait"/>
          <w:cols w:equalWidth="0" w:num="3">
            <w:col w:w="3920" w:space="720"/>
            <w:col w:w="3040" w:space="720"/>
            <w:col w:w="2840"/>
          </w:cols>
          <w:pgMar w:left="320" w:top="1089" w:right="339" w:bottom="1440" w:gutter="0" w:footer="0" w:header="0"/>
          <w:type w:val="continuous"/>
        </w:sect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645 Hamilton Street, Suite 400</w:t>
      </w:r>
    </w:p>
    <w:p>
      <w:pPr>
        <w:spacing w:after="0" w:line="31"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Allentown, PA</w:t>
      </w:r>
    </w:p>
    <w:p>
      <w:pPr>
        <w:spacing w:after="0" w:line="9"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740"/>
        <w:spacing w:after="0"/>
        <w:rPr>
          <w:sz w:val="20"/>
          <w:szCs w:val="20"/>
          <w:color w:val="auto"/>
        </w:rPr>
      </w:pPr>
      <w:r>
        <w:rPr>
          <w:rFonts w:ascii="Times New Roman" w:cs="Times New Roman" w:eastAsia="Times New Roman" w:hAnsi="Times New Roman"/>
          <w:sz w:val="18"/>
          <w:szCs w:val="18"/>
          <w:b w:val="1"/>
          <w:bCs w:val="1"/>
          <w:color w:val="auto"/>
        </w:rPr>
        <w:t>18101</w:t>
      </w:r>
    </w:p>
    <w:p>
      <w:pPr>
        <w:spacing w:after="0" w:line="31" w:lineRule="exact"/>
        <w:rPr>
          <w:sz w:val="24"/>
          <w:szCs w:val="24"/>
          <w:color w:val="auto"/>
        </w:rPr>
      </w:pPr>
    </w:p>
    <w:p>
      <w:pPr>
        <w:jc w:val="center"/>
        <w:ind w:right="27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980" w:space="720"/>
            <w:col w:w="3540"/>
          </w:cols>
          <w:pgMar w:left="320" w:top="1089"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(610) 625-8000</w:t>
      </w:r>
    </w:p>
    <w:p>
      <w:pPr>
        <w:spacing w:after="0" w:line="14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0" w:lineRule="exact"/>
        <w:rPr>
          <w:sz w:val="24"/>
          <w:szCs w:val="24"/>
          <w:color w:val="auto"/>
        </w:rPr>
      </w:pPr>
    </w:p>
    <w:tbl>
      <w:tblPr>
        <w:tblLayout w:type="fixed"/>
        <w:tblInd w:w="1740" w:type="dxa"/>
        <w:tblCellMar>
          <w:top w:w="0" w:type="dxa"/>
          <w:left w:w="0" w:type="dxa"/>
          <w:bottom w:w="0" w:type="dxa"/>
          <w:right w:w="0" w:type="dxa"/>
        </w:tblCellMar>
      </w:tblPr>
      <w:tr>
        <w:trPr>
          <w:trHeight w:val="234"/>
        </w:trPr>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CAPL</w:t>
            </w: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1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8920"/>
        <w:spacing w:after="0" w:line="196" w:lineRule="exact"/>
        <w:rPr>
          <w:sz w:val="20"/>
          <w:szCs w:val="20"/>
          <w:color w:val="auto"/>
        </w:rPr>
      </w:pPr>
      <w:r>
        <w:rPr>
          <w:rFonts w:ascii="Times New Roman" w:cs="Times New Roman" w:eastAsia="Times New Roman" w:hAnsi="Times New Roman"/>
          <w:sz w:val="17"/>
          <w:szCs w:val="17"/>
          <w:color w:val="auto"/>
        </w:rPr>
        <w:t>Emerging growth company</w:t>
      </w:r>
      <w:r>
        <w:rPr>
          <w:rFonts w:ascii="Wingdings" w:cs="Wingdings" w:eastAsia="Wingdings" w:hAnsi="Wingdings"/>
          <w:sz w:val="17"/>
          <w:szCs w:val="17"/>
          <w:b w:val="1"/>
          <w:bCs w:val="1"/>
          <w:color w:val="auto"/>
        </w:rPr>
        <w:t></w:t>
      </w:r>
      <w:r>
        <w:rPr>
          <w:rFonts w:ascii="MS PGothic" w:cs="MS PGothic" w:eastAsia="MS PGothic" w:hAnsi="MS PGothic"/>
          <w:sz w:val="17"/>
          <w:szCs w:val="17"/>
          <w:color w:val="auto"/>
        </w:rPr>
        <w:t>☐</w:t>
      </w:r>
    </w:p>
    <w:p>
      <w:pPr>
        <w:spacing w:after="0" w:line="21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Wingdings" w:cs="Wingdings" w:eastAsia="Wingdings" w:hAnsi="Wingdings"/>
          <w:sz w:val="18"/>
          <w:szCs w:val="18"/>
          <w:b w:val="1"/>
          <w:bCs w:val="1"/>
          <w:color w:val="auto"/>
        </w:rPr>
        <w: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April 22, 2026, CrossAmerica Partners LP (the "Partnership") issued a press release announcing that the Board of Directors of CrossAmerica GP LLC, the general partner of the Partnership, approved a quarterly distribution of $0.5250 per unit attributable to the first quarter of 2026 (annualized $2.10 per unit), consistent with the fourth quarter of 2025. The distribution attributable to the first quarter is payable on May 14, 2026 to all unitholders of record on May 4, 2026. A copy of the press release is furnished as Exhibit 99.1 to this Current Report on Form 8-K.</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information in this Current Report on Form 8-K is being furnished pursuant to Regulation FD. The information in Item 7.01 and Exhibit 99.1 of Item 9.01 of this report, according to general instruction B.2. of Form 8-K,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pursuant to the Securities Act of 1933, as amended. By filing this Current Report on Form 8-K and furnishing this information, the Partnership makes no admission as to the materiality of any information in this report that the Partnership chooses to disclose solely because of Regulation FD.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 Exhibits</w:t>
            </w:r>
          </w:p>
        </w:tc>
        <w:tc>
          <w:tcPr>
            <w:tcW w:w="5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660" w:type="dxa"/>
            <w:vAlign w:val="bottom"/>
          </w:tcPr>
          <w:p>
            <w:pPr>
              <w:spacing w:after="0"/>
              <w:rPr>
                <w:sz w:val="14"/>
                <w:szCs w:val="14"/>
                <w:color w:val="auto"/>
              </w:rPr>
            </w:pPr>
          </w:p>
        </w:tc>
        <w:tc>
          <w:tcPr>
            <w:tcW w:w="1580" w:type="dxa"/>
            <w:vAlign w:val="bottom"/>
            <w:tcBorders>
              <w:top w:val="single" w:sz="8" w:color="auto"/>
            </w:tcBorders>
          </w:tcPr>
          <w:p>
            <w:pPr>
              <w:ind w:left="10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886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dated April 22, 2026, regarding the declaration of a distribution</w:t>
            </w:r>
          </w:p>
        </w:tc>
        <w:tc>
          <w:tcPr>
            <w:tcW w:w="140" w:type="dxa"/>
            <w:vAlign w:val="bottom"/>
          </w:tcPr>
          <w:p>
            <w:pPr>
              <w:spacing w:after="0"/>
              <w:rPr>
                <w:sz w:val="14"/>
                <w:szCs w:val="14"/>
                <w:color w:val="auto"/>
              </w:rPr>
            </w:pPr>
          </w:p>
        </w:tc>
      </w:tr>
      <w:tr>
        <w:trPr>
          <w:trHeight w:val="20"/>
        </w:trPr>
        <w:tc>
          <w:tcPr>
            <w:tcW w:w="2240" w:type="dxa"/>
            <w:vAlign w:val="bottom"/>
            <w:tcBorders>
              <w:right w:val="single" w:sz="8" w:color="0000EE"/>
            </w:tcBorders>
            <w:gridSpan w:val="2"/>
          </w:tcPr>
          <w:p>
            <w:pPr>
              <w:spacing w:after="0" w:line="20" w:lineRule="exact"/>
              <w:rPr>
                <w:sz w:val="1"/>
                <w:szCs w:val="1"/>
                <w:color w:val="auto"/>
              </w:rPr>
            </w:pPr>
          </w:p>
        </w:tc>
        <w:tc>
          <w:tcPr>
            <w:tcW w:w="5600" w:type="dxa"/>
            <w:vAlign w:val="bottom"/>
            <w:tcBorders>
              <w:right w:val="single" w:sz="8" w:color="0000EE"/>
            </w:tcBorders>
            <w:shd w:val="clear" w:color="auto" w:fill="0000FF"/>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r>
      <w:tr>
        <w:trPr>
          <w:trHeight w:val="237"/>
        </w:trPr>
        <w:tc>
          <w:tcPr>
            <w:tcW w:w="22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104</w:t>
            </w:r>
          </w:p>
        </w:tc>
        <w:tc>
          <w:tcPr>
            <w:tcW w:w="9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425"/>
        </w:trPr>
        <w:tc>
          <w:tcPr>
            <w:tcW w:w="6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CrossAmerica GP LLC</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Keenan D. Lynch</w:t>
            </w:r>
          </w:p>
        </w:tc>
      </w:tr>
      <w:tr>
        <w:trPr>
          <w:trHeight w:val="191"/>
        </w:trPr>
        <w:tc>
          <w:tcPr>
            <w:tcW w:w="54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Keenan D. Lynch</w:t>
            </w:r>
          </w:p>
        </w:tc>
      </w:tr>
      <w:tr>
        <w:trPr>
          <w:trHeight w:val="234"/>
        </w:trPr>
        <w:tc>
          <w:tcPr>
            <w:tcW w:w="5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Counsel and Chief Administrative Officer</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5"/>
          <w:szCs w:val="25"/>
          <w:b w:val="1"/>
          <w:bCs w:val="1"/>
          <w:color w:val="auto"/>
        </w:rPr>
        <w:t>Exhibit 99.1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36830</wp:posOffset>
            </wp:positionV>
            <wp:extent cx="899795" cy="728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99795"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CrossAmerica Partners LP Maintains Quarterly Distribution</w:t>
      </w:r>
    </w:p>
    <w:p>
      <w:pPr>
        <w:spacing w:after="0" w:line="223" w:lineRule="exact"/>
        <w:rPr>
          <w:sz w:val="20"/>
          <w:szCs w:val="20"/>
          <w:color w:val="auto"/>
        </w:rPr>
      </w:pPr>
    </w:p>
    <w:p>
      <w:pPr>
        <w:ind w:left="1500" w:hanging="369"/>
        <w:spacing w:after="0"/>
        <w:tabs>
          <w:tab w:leader="none" w:pos="1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distribution of $0.5250 per unit attributable to the first quarter of 2026</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ALLENTOWN, PA (April 22, 2026) </w:t>
      </w:r>
      <w:r>
        <w:rPr>
          <w:rFonts w:ascii="Times New Roman" w:cs="Times New Roman" w:eastAsia="Times New Roman" w:hAnsi="Times New Roman"/>
          <w:sz w:val="22"/>
          <w:szCs w:val="22"/>
          <w:color w:val="auto"/>
        </w:rPr>
        <w:t>– CrossAmerica Partners LP (NYSE: CAPL) announced today that the Board of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its general partner has approved a quarterly distribution of $0.5250 per unit attributable to the first quarter of 2026 (annualized $2.10 per unit). The distribution attributable to the first quarter is payable on May 14, 2026, to all unitholders of record on May 4, 2026.</w:t>
      </w:r>
    </w:p>
    <w:p>
      <w:pPr>
        <w:spacing w:after="0" w:line="189" w:lineRule="exact"/>
        <w:rPr>
          <w:sz w:val="20"/>
          <w:szCs w:val="20"/>
          <w:color w:val="auto"/>
        </w:rPr>
      </w:pPr>
    </w:p>
    <w:p>
      <w:pPr>
        <w:ind w:right="460"/>
        <w:spacing w:after="0" w:line="219" w:lineRule="auto"/>
        <w:rPr>
          <w:sz w:val="20"/>
          <w:szCs w:val="20"/>
          <w:color w:val="auto"/>
        </w:rPr>
      </w:pPr>
      <w:r>
        <w:rPr>
          <w:rFonts w:ascii="Times New Roman" w:cs="Times New Roman" w:eastAsia="Times New Roman" w:hAnsi="Times New Roman"/>
          <w:sz w:val="22"/>
          <w:szCs w:val="22"/>
          <w:color w:val="auto"/>
        </w:rPr>
        <w:t>CrossAmerica will host a conference call on May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at 9:00 a.m. Eastern Time to discuss first quarter 2026 earnings results, which will be released after the market closes on Wednesday, May 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CrossAmerica Partners LP</w:t>
      </w:r>
    </w:p>
    <w:p>
      <w:pPr>
        <w:spacing w:after="0" w:line="210"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CrossAmerica Partners is a leading wholesale distributor of motor fuels, convenience store operator, and owner and lessor of real estate used in the retail distribution of motor fuels. Its general partner, CrossAmerica GP LLC, is indirectly owned and controlled by entities affiliated with Joseph V. Topper, Jr., the founder of CrossAmerica Partners and a member of the board of the general partner since 2012. Formed in 2012, CrossAmerica Partners LP is a distributor of branded and unbranded petroleum for motor vehicles in the United States and distributes fuel to approximately 1,600 locations and owns or leases approximately 900 sites. With a geographic footprint covering 34 states, the Partnership has well-established relationships with several major oil brands, including ExxonMobil, BP, Shell, Marathon, Valero, Phillips 66 and other major brands. CrossAmerica Partners ranks as one of ExxonMobil's largest distributors by fuel volume in the United States and in the top 10 for additional brands. For additional information, please visit www.crossamericapartners.com.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 Looking Statement</w:t>
      </w:r>
    </w:p>
    <w:p>
      <w:pPr>
        <w:spacing w:after="0" w:line="210" w:lineRule="exact"/>
        <w:rPr>
          <w:sz w:val="20"/>
          <w:szCs w:val="20"/>
          <w:color w:val="auto"/>
        </w:rPr>
      </w:pPr>
    </w:p>
    <w:p>
      <w:pPr>
        <w:ind w:right="280"/>
        <w:spacing w:after="0" w:line="235" w:lineRule="auto"/>
        <w:rPr>
          <w:sz w:val="20"/>
          <w:szCs w:val="20"/>
          <w:color w:val="auto"/>
        </w:rPr>
      </w:pPr>
      <w:r>
        <w:rPr>
          <w:rFonts w:ascii="Times New Roman" w:cs="Times New Roman" w:eastAsia="Times New Roman" w:hAnsi="Times New Roman"/>
          <w:sz w:val="22"/>
          <w:szCs w:val="22"/>
          <w:color w:val="auto"/>
        </w:rPr>
        <w:t>Statements contained in this release that state the Partnership’s or management's expectations or predictions of the future are forward-looking statements. The words "believe," "expect," "should," "intends," "estimates," "target," "plan" and other similar expressions identify forward-looking statements. It is important to note that actual results could differ materially from those projected in such forward-looking statements. For more information concerning factors that could cause actual results to differ from those expressed or forecasted, see CrossAmerica's Forms 10-Q or Form 10-K filed with the Securities and Exchange Commission and available on CrossAmerica's website at www.crossamericapartners.com. The Partnership undertakes no obligation to publicly update or revise any statements in this release,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9"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Note to Non-United States Investors: This release is intended to be a qualified notice under Treasury Regulation Section 1.1446-</w:t>
      </w:r>
    </w:p>
    <w:p>
      <w:pPr>
        <w:spacing w:after="0" w:line="26" w:lineRule="exact"/>
        <w:rPr>
          <w:sz w:val="20"/>
          <w:szCs w:val="20"/>
          <w:color w:val="auto"/>
        </w:rPr>
      </w:pPr>
    </w:p>
    <w:p>
      <w:pPr>
        <w:ind w:right="440" w:firstLine="8"/>
        <w:spacing w:after="0" w:line="234" w:lineRule="auto"/>
        <w:tabs>
          <w:tab w:leader="none" w:pos="21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Brokers and nominees should treat one hundred percent (100%) of CrossAmerica Partners LP’s distributions to non-U.S. investors as attributable to income that is effectively connected with a United States trade or business. Accordingly, CrossAmerica Partners LP’s distributions to non-U.S. investors are subject to federal income tax withholding at the highest applicable effective tax rate.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Contact </w:t>
      </w:r>
      <w:r>
        <w:rPr>
          <w:rFonts w:ascii="Times New Roman" w:cs="Times New Roman" w:eastAsia="Times New Roman" w:hAnsi="Times New Roman"/>
          <w:sz w:val="22"/>
          <w:szCs w:val="22"/>
          <w:color w:val="auto"/>
        </w:rPr>
        <w:t>– Randy Palmer, rpalmer@caplp.com or 610-625-8000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1595120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8" w:right="45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2026-04-22T15:55:09Z</dcterms:created>
  <dcterms:modified xsi:type="dcterms:W3CDTF">2026-04-22T15:55:09Z</dcterms:modified>
</cp:coreProperties>
</file>