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480"/>
          </w:cols>
          <w:pgMar w:left="460" w:top="219" w:right="47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Topper Joseph V. Jr.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645 HAMILTON ST.,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9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CrossAmerica Partners LP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CAPL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05/21/2026</w:t>
      </w:r>
    </w:p>
    <w:p>
      <w:pPr>
        <w:spacing w:after="0" w:line="20" w:lineRule="exact"/>
        <w:rPr>
          <w:sz w:val="24"/>
          <w:szCs w:val="24"/>
          <w:color w:val="auto"/>
        </w:rPr>
      </w:pPr>
      <w:r>
        <w:rPr>
          <w:sz w:val="24"/>
          <w:szCs w:val="24"/>
          <w:color w:val="auto"/>
        </w:rPr>
        <w:br w:type="column"/>
      </w:r>
    </w:p>
    <w:p>
      <w:pPr>
        <w:ind w:left="5" w:right="42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30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5" w:lineRule="exact"/>
        <w:rPr>
          <w:sz w:val="24"/>
          <w:szCs w:val="24"/>
          <w:color w:val="auto"/>
        </w:rPr>
      </w:pPr>
    </w:p>
    <w:p>
      <w:pPr>
        <w:sectPr>
          <w:pgSz w:w="11900" w:h="16838" w:orient="portrait"/>
          <w:cols w:equalWidth="0" w:num="3">
            <w:col w:w="3200" w:space="720"/>
            <w:col w:w="3095" w:space="720"/>
            <w:col w:w="3225"/>
          </w:cols>
          <w:pgMar w:left="460" w:top="219" w:right="479" w:bottom="0" w:gutter="0" w:footer="0" w:header="0"/>
          <w:type w:val="continuous"/>
        </w:sectPr>
      </w:pPr>
    </w:p>
    <w:p>
      <w:pPr>
        <w:spacing w:after="0" w:line="20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ALLENTOWN</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PA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18101</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22" w:lineRule="exact"/>
        <w:rPr>
          <w:sz w:val="24"/>
          <w:szCs w:val="24"/>
          <w:color w:val="auto"/>
        </w:rPr>
      </w:pPr>
    </w:p>
    <w:p>
      <w:pPr>
        <w:sectPr>
          <w:pgSz w:w="11900" w:h="16838" w:orient="portrait"/>
          <w:cols w:equalWidth="0" w:num="2">
            <w:col w:w="3760" w:space="160"/>
            <w:col w:w="7040"/>
          </w:cols>
          <w:pgMar w:left="460" w:top="219" w:right="479" w:bottom="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3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380" w:type="dxa"/>
            <w:vAlign w:val="bottom"/>
          </w:tcPr>
          <w:p>
            <w:pPr>
              <w:spacing w:after="0"/>
              <w:rPr>
                <w:sz w:val="11"/>
                <w:szCs w:val="11"/>
                <w:color w:val="auto"/>
              </w:rPr>
            </w:pPr>
          </w:p>
        </w:tc>
        <w:tc>
          <w:tcPr>
            <w:tcW w:w="168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380" w:type="dxa"/>
            <w:vAlign w:val="bottom"/>
          </w:tcPr>
          <w:p>
            <w:pPr>
              <w:spacing w:after="0"/>
              <w:rPr>
                <w:sz w:val="11"/>
                <w:szCs w:val="11"/>
                <w:color w:val="auto"/>
              </w:rPr>
            </w:pPr>
          </w:p>
        </w:tc>
        <w:tc>
          <w:tcPr>
            <w:tcW w:w="168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38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38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3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3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3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3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Units</w:t>
            </w:r>
          </w:p>
        </w:tc>
        <w:tc>
          <w:tcPr>
            <w:tcW w:w="1680" w:type="dxa"/>
            <w:vAlign w:val="bottom"/>
            <w:vMerge w:val="restart"/>
          </w:tcPr>
          <w:p>
            <w:pPr>
              <w:jc w:val="right"/>
              <w:ind w:right="89"/>
              <w:spacing w:after="0"/>
              <w:rPr>
                <w:sz w:val="20"/>
                <w:szCs w:val="20"/>
                <w:color w:val="auto"/>
              </w:rPr>
            </w:pPr>
            <w:r>
              <w:rPr>
                <w:rFonts w:ascii="Times New Roman" w:cs="Times New Roman" w:eastAsia="Times New Roman" w:hAnsi="Times New Roman"/>
                <w:sz w:val="17"/>
                <w:szCs w:val="17"/>
                <w:color w:val="0000FF"/>
              </w:rPr>
              <w:t>05/21/2026</w:t>
            </w:r>
          </w:p>
        </w:tc>
        <w:tc>
          <w:tcPr>
            <w:tcW w:w="1120" w:type="dxa"/>
            <w:vAlign w:val="bottom"/>
          </w:tcPr>
          <w:p>
            <w:pPr>
              <w:spacing w:after="0"/>
              <w:rPr>
                <w:sz w:val="21"/>
                <w:szCs w:val="21"/>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720" w:type="dxa"/>
            <w:vAlign w:val="bottom"/>
            <w:vMerge w:val="restart"/>
          </w:tcPr>
          <w:p>
            <w:pPr>
              <w:jc w:val="right"/>
              <w:ind w:right="49"/>
              <w:spacing w:after="0"/>
              <w:rPr>
                <w:sz w:val="20"/>
                <w:szCs w:val="20"/>
                <w:color w:val="auto"/>
              </w:rPr>
            </w:pPr>
            <w:r>
              <w:rPr>
                <w:rFonts w:ascii="Times New Roman" w:cs="Times New Roman" w:eastAsia="Times New Roman" w:hAnsi="Times New Roman"/>
                <w:sz w:val="17"/>
                <w:szCs w:val="17"/>
                <w:color w:val="0000FF"/>
              </w:rPr>
              <w:t>6,373</w:t>
            </w:r>
          </w:p>
        </w:tc>
        <w:tc>
          <w:tcPr>
            <w:tcW w:w="540" w:type="dxa"/>
            <w:vAlign w:val="bottom"/>
            <w:vMerge w:val="restart"/>
          </w:tcPr>
          <w:p>
            <w:pPr>
              <w:jc w:val="center"/>
              <w:ind w:left="7"/>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22.72</w:t>
            </w:r>
            <w:r>
              <w:rPr>
                <w:rFonts w:ascii="Times New Roman" w:cs="Times New Roman" w:eastAsia="Times New Roman" w:hAnsi="Times New Roman"/>
                <w:sz w:val="22"/>
                <w:szCs w:val="22"/>
                <w:color w:val="008000"/>
                <w:vertAlign w:val="superscript"/>
              </w:rPr>
              <w:t>(2)</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1,511,824</w:t>
            </w:r>
            <w:r>
              <w:rPr>
                <w:rFonts w:ascii="Times New Roman" w:cs="Times New Roman" w:eastAsia="Times New Roman" w:hAnsi="Times New Roman"/>
                <w:sz w:val="22"/>
                <w:szCs w:val="22"/>
                <w:color w:val="008000"/>
                <w:w w:val="96"/>
                <w:vertAlign w:val="superscript"/>
              </w:rPr>
              <w:t>(3)</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34"/>
                <w:szCs w:val="34"/>
                <w:color w:val="0000FF"/>
                <w:w w:val="97"/>
                <w:vertAlign w:val="subscript"/>
              </w:rPr>
              <w:t>I</w:t>
            </w:r>
            <w:r>
              <w:rPr>
                <w:rFonts w:ascii="Times New Roman" w:cs="Times New Roman" w:eastAsia="Times New Roman" w:hAnsi="Times New Roman"/>
                <w:sz w:val="11"/>
                <w:szCs w:val="11"/>
                <w:color w:val="008000"/>
                <w:w w:val="97"/>
              </w:rPr>
              <w:t>(4)</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380" w:type="dxa"/>
            <w:vAlign w:val="bottom"/>
            <w:vMerge w:val="continue"/>
          </w:tcPr>
          <w:p>
            <w:pPr>
              <w:spacing w:after="0"/>
              <w:rPr>
                <w:sz w:val="15"/>
                <w:szCs w:val="15"/>
                <w:color w:val="auto"/>
              </w:rPr>
            </w:pPr>
          </w:p>
        </w:tc>
        <w:tc>
          <w:tcPr>
            <w:tcW w:w="168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13"/>
        </w:trPr>
        <w:tc>
          <w:tcPr>
            <w:tcW w:w="238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Units</w:t>
            </w:r>
          </w:p>
        </w:tc>
        <w:tc>
          <w:tcPr>
            <w:tcW w:w="1680" w:type="dxa"/>
            <w:vAlign w:val="bottom"/>
            <w:vMerge w:val="restart"/>
          </w:tcPr>
          <w:p>
            <w:pPr>
              <w:jc w:val="right"/>
              <w:ind w:right="89"/>
              <w:spacing w:after="0"/>
              <w:rPr>
                <w:sz w:val="20"/>
                <w:szCs w:val="20"/>
                <w:color w:val="auto"/>
              </w:rPr>
            </w:pPr>
            <w:r>
              <w:rPr>
                <w:rFonts w:ascii="Times New Roman" w:cs="Times New Roman" w:eastAsia="Times New Roman" w:hAnsi="Times New Roman"/>
                <w:sz w:val="17"/>
                <w:szCs w:val="17"/>
                <w:color w:val="0000FF"/>
              </w:rPr>
              <w:t>05/21/2026</w:t>
            </w:r>
          </w:p>
        </w:tc>
        <w:tc>
          <w:tcPr>
            <w:tcW w:w="1120" w:type="dxa"/>
            <w:vAlign w:val="bottom"/>
          </w:tcPr>
          <w:p>
            <w:pPr>
              <w:spacing w:after="0"/>
              <w:rPr>
                <w:sz w:val="21"/>
                <w:szCs w:val="21"/>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720" w:type="dxa"/>
            <w:vAlign w:val="bottom"/>
            <w:vMerge w:val="restart"/>
          </w:tcPr>
          <w:p>
            <w:pPr>
              <w:jc w:val="right"/>
              <w:ind w:right="49"/>
              <w:spacing w:after="0"/>
              <w:rPr>
                <w:sz w:val="20"/>
                <w:szCs w:val="20"/>
                <w:color w:val="auto"/>
              </w:rPr>
            </w:pPr>
            <w:r>
              <w:rPr>
                <w:rFonts w:ascii="Times New Roman" w:cs="Times New Roman" w:eastAsia="Times New Roman" w:hAnsi="Times New Roman"/>
                <w:sz w:val="17"/>
                <w:szCs w:val="17"/>
                <w:color w:val="0000FF"/>
              </w:rPr>
              <w:t>6,373</w:t>
            </w:r>
          </w:p>
        </w:tc>
        <w:tc>
          <w:tcPr>
            <w:tcW w:w="540" w:type="dxa"/>
            <w:vAlign w:val="bottom"/>
            <w:vMerge w:val="restart"/>
          </w:tcPr>
          <w:p>
            <w:pPr>
              <w:jc w:val="center"/>
              <w:ind w:left="7"/>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22.72</w:t>
            </w:r>
            <w:r>
              <w:rPr>
                <w:rFonts w:ascii="Times New Roman" w:cs="Times New Roman" w:eastAsia="Times New Roman" w:hAnsi="Times New Roman"/>
                <w:sz w:val="22"/>
                <w:szCs w:val="22"/>
                <w:color w:val="008000"/>
                <w:vertAlign w:val="superscript"/>
              </w:rPr>
              <w:t>(2)</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1,518,197</w:t>
            </w:r>
            <w:r>
              <w:rPr>
                <w:rFonts w:ascii="Times New Roman" w:cs="Times New Roman" w:eastAsia="Times New Roman" w:hAnsi="Times New Roman"/>
                <w:sz w:val="22"/>
                <w:szCs w:val="22"/>
                <w:color w:val="008000"/>
                <w:w w:val="96"/>
                <w:vertAlign w:val="superscript"/>
              </w:rPr>
              <w:t>(3)</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34"/>
                <w:szCs w:val="34"/>
                <w:color w:val="0000FF"/>
                <w:w w:val="97"/>
                <w:vertAlign w:val="subscript"/>
              </w:rPr>
              <w:t>I</w:t>
            </w:r>
            <w:r>
              <w:rPr>
                <w:rFonts w:ascii="Times New Roman" w:cs="Times New Roman" w:eastAsia="Times New Roman" w:hAnsi="Times New Roman"/>
                <w:sz w:val="11"/>
                <w:szCs w:val="11"/>
                <w:color w:val="008000"/>
                <w:w w:val="97"/>
              </w:rPr>
              <w:t>(4)</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380" w:type="dxa"/>
            <w:vAlign w:val="bottom"/>
            <w:vMerge w:val="continue"/>
          </w:tcPr>
          <w:p>
            <w:pPr>
              <w:spacing w:after="0"/>
              <w:rPr>
                <w:sz w:val="15"/>
                <w:szCs w:val="15"/>
                <w:color w:val="auto"/>
              </w:rPr>
            </w:pPr>
          </w:p>
        </w:tc>
        <w:tc>
          <w:tcPr>
            <w:tcW w:w="168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13"/>
        </w:trPr>
        <w:tc>
          <w:tcPr>
            <w:tcW w:w="238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3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Dunne</w:t>
            </w:r>
          </w:p>
        </w:tc>
        <w:tc>
          <w:tcPr>
            <w:tcW w:w="0" w:type="dxa"/>
            <w:vAlign w:val="bottom"/>
          </w:tcPr>
          <w:p>
            <w:pPr>
              <w:spacing w:after="0"/>
              <w:rPr>
                <w:sz w:val="1"/>
                <w:szCs w:val="1"/>
                <w:color w:val="auto"/>
              </w:rPr>
            </w:pPr>
          </w:p>
        </w:tc>
      </w:tr>
      <w:tr>
        <w:trPr>
          <w:trHeight w:val="213"/>
        </w:trPr>
        <w:tc>
          <w:tcPr>
            <w:tcW w:w="2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Manning</w:t>
            </w:r>
          </w:p>
        </w:tc>
        <w:tc>
          <w:tcPr>
            <w:tcW w:w="0" w:type="dxa"/>
            <w:vAlign w:val="bottom"/>
          </w:tcPr>
          <w:p>
            <w:pPr>
              <w:spacing w:after="0"/>
              <w:rPr>
                <w:sz w:val="1"/>
                <w:szCs w:val="1"/>
                <w:color w:val="auto"/>
              </w:rPr>
            </w:pPr>
          </w:p>
        </w:tc>
      </w:tr>
      <w:tr>
        <w:trPr>
          <w:trHeight w:val="213"/>
        </w:trPr>
        <w:tc>
          <w:tcPr>
            <w:tcW w:w="2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Units</w:t>
            </w:r>
          </w:p>
        </w:tc>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6"/>
              </w:rPr>
              <w:t>4,472,235</w:t>
            </w:r>
            <w:r>
              <w:rPr>
                <w:rFonts w:ascii="Times New Roman" w:cs="Times New Roman" w:eastAsia="Times New Roman" w:hAnsi="Times New Roman"/>
                <w:sz w:val="22"/>
                <w:szCs w:val="22"/>
                <w:color w:val="008000"/>
                <w:w w:val="96"/>
                <w:vertAlign w:val="superscript"/>
              </w:rPr>
              <w:t>(3)</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CAP</w:t>
            </w:r>
          </w:p>
        </w:tc>
        <w:tc>
          <w:tcPr>
            <w:tcW w:w="0" w:type="dxa"/>
            <w:vAlign w:val="bottom"/>
          </w:tcPr>
          <w:p>
            <w:pPr>
              <w:spacing w:after="0"/>
              <w:rPr>
                <w:sz w:val="1"/>
                <w:szCs w:val="1"/>
                <w:color w:val="auto"/>
              </w:rPr>
            </w:pPr>
          </w:p>
        </w:tc>
      </w:tr>
      <w:tr>
        <w:trPr>
          <w:trHeight w:val="213"/>
        </w:trPr>
        <w:tc>
          <w:tcPr>
            <w:tcW w:w="2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Holdings I</w:t>
            </w:r>
          </w:p>
        </w:tc>
        <w:tc>
          <w:tcPr>
            <w:tcW w:w="0" w:type="dxa"/>
            <w:vAlign w:val="bottom"/>
          </w:tcPr>
          <w:p>
            <w:pPr>
              <w:spacing w:after="0"/>
              <w:rPr>
                <w:sz w:val="1"/>
                <w:szCs w:val="1"/>
                <w:color w:val="auto"/>
              </w:rPr>
            </w:pPr>
          </w:p>
        </w:tc>
      </w:tr>
      <w:tr>
        <w:trPr>
          <w:trHeight w:val="226"/>
        </w:trPr>
        <w:tc>
          <w:tcPr>
            <w:tcW w:w="23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LLC</w:t>
            </w:r>
          </w:p>
        </w:tc>
        <w:tc>
          <w:tcPr>
            <w:tcW w:w="0" w:type="dxa"/>
            <w:vAlign w:val="bottom"/>
          </w:tcPr>
          <w:p>
            <w:pPr>
              <w:spacing w:after="0"/>
              <w:rPr>
                <w:sz w:val="1"/>
                <w:szCs w:val="1"/>
                <w:color w:val="auto"/>
              </w:rPr>
            </w:pPr>
          </w:p>
        </w:tc>
      </w:tr>
      <w:tr>
        <w:trPr>
          <w:trHeight w:val="61"/>
        </w:trPr>
        <w:tc>
          <w:tcPr>
            <w:tcW w:w="238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Dunne</w:t>
            </w:r>
          </w:p>
        </w:tc>
        <w:tc>
          <w:tcPr>
            <w:tcW w:w="0" w:type="dxa"/>
            <w:vAlign w:val="bottom"/>
          </w:tcPr>
          <w:p>
            <w:pPr>
              <w:spacing w:after="0"/>
              <w:rPr>
                <w:sz w:val="1"/>
                <w:szCs w:val="1"/>
                <w:color w:val="auto"/>
              </w:rPr>
            </w:pPr>
          </w:p>
        </w:tc>
      </w:tr>
      <w:tr>
        <w:trPr>
          <w:trHeight w:val="213"/>
        </w:trPr>
        <w:tc>
          <w:tcPr>
            <w:tcW w:w="2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Manning</w:t>
            </w:r>
          </w:p>
        </w:tc>
        <w:tc>
          <w:tcPr>
            <w:tcW w:w="0" w:type="dxa"/>
            <w:vAlign w:val="bottom"/>
          </w:tcPr>
          <w:p>
            <w:pPr>
              <w:spacing w:after="0"/>
              <w:rPr>
                <w:sz w:val="1"/>
                <w:szCs w:val="1"/>
                <w:color w:val="auto"/>
              </w:rPr>
            </w:pPr>
          </w:p>
        </w:tc>
      </w:tr>
      <w:tr>
        <w:trPr>
          <w:trHeight w:val="213"/>
        </w:trPr>
        <w:tc>
          <w:tcPr>
            <w:tcW w:w="2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Units</w:t>
            </w:r>
          </w:p>
        </w:tc>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6"/>
              </w:rPr>
              <w:t>1,510,636</w:t>
            </w:r>
            <w:r>
              <w:rPr>
                <w:rFonts w:ascii="Times New Roman" w:cs="Times New Roman" w:eastAsia="Times New Roman" w:hAnsi="Times New Roman"/>
                <w:sz w:val="22"/>
                <w:szCs w:val="22"/>
                <w:color w:val="008000"/>
                <w:w w:val="96"/>
                <w:vertAlign w:val="superscript"/>
              </w:rPr>
              <w:t>(3)</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CAP</w:t>
            </w:r>
          </w:p>
        </w:tc>
        <w:tc>
          <w:tcPr>
            <w:tcW w:w="0" w:type="dxa"/>
            <w:vAlign w:val="bottom"/>
          </w:tcPr>
          <w:p>
            <w:pPr>
              <w:spacing w:after="0"/>
              <w:rPr>
                <w:sz w:val="1"/>
                <w:szCs w:val="1"/>
                <w:color w:val="auto"/>
              </w:rPr>
            </w:pPr>
          </w:p>
        </w:tc>
      </w:tr>
      <w:tr>
        <w:trPr>
          <w:trHeight w:val="213"/>
        </w:trPr>
        <w:tc>
          <w:tcPr>
            <w:tcW w:w="2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Holdings</w:t>
            </w:r>
          </w:p>
        </w:tc>
        <w:tc>
          <w:tcPr>
            <w:tcW w:w="0" w:type="dxa"/>
            <w:vAlign w:val="bottom"/>
          </w:tcPr>
          <w:p>
            <w:pPr>
              <w:spacing w:after="0"/>
              <w:rPr>
                <w:sz w:val="1"/>
                <w:szCs w:val="1"/>
                <w:color w:val="auto"/>
              </w:rPr>
            </w:pPr>
          </w:p>
        </w:tc>
      </w:tr>
      <w:tr>
        <w:trPr>
          <w:trHeight w:val="226"/>
        </w:trPr>
        <w:tc>
          <w:tcPr>
            <w:tcW w:w="23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II LLC</w:t>
            </w:r>
          </w:p>
        </w:tc>
        <w:tc>
          <w:tcPr>
            <w:tcW w:w="0" w:type="dxa"/>
            <w:vAlign w:val="bottom"/>
          </w:tcPr>
          <w:p>
            <w:pPr>
              <w:spacing w:after="0"/>
              <w:rPr>
                <w:sz w:val="1"/>
                <w:szCs w:val="1"/>
                <w:color w:val="auto"/>
              </w:rPr>
            </w:pPr>
          </w:p>
        </w:tc>
      </w:tr>
      <w:tr>
        <w:trPr>
          <w:trHeight w:val="61"/>
        </w:trPr>
        <w:tc>
          <w:tcPr>
            <w:tcW w:w="238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13"/>
        </w:trPr>
        <w:tc>
          <w:tcPr>
            <w:tcW w:w="2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Patricia</w:t>
            </w:r>
          </w:p>
        </w:tc>
        <w:tc>
          <w:tcPr>
            <w:tcW w:w="0" w:type="dxa"/>
            <w:vAlign w:val="bottom"/>
          </w:tcPr>
          <w:p>
            <w:pPr>
              <w:spacing w:after="0"/>
              <w:rPr>
                <w:sz w:val="1"/>
                <w:szCs w:val="1"/>
                <w:color w:val="auto"/>
              </w:rPr>
            </w:pPr>
          </w:p>
        </w:tc>
      </w:tr>
      <w:tr>
        <w:trPr>
          <w:trHeight w:val="213"/>
        </w:trPr>
        <w:tc>
          <w:tcPr>
            <w:tcW w:w="2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Dunne</w:t>
            </w:r>
          </w:p>
        </w:tc>
        <w:tc>
          <w:tcPr>
            <w:tcW w:w="0" w:type="dxa"/>
            <w:vAlign w:val="bottom"/>
          </w:tcPr>
          <w:p>
            <w:pPr>
              <w:spacing w:after="0"/>
              <w:rPr>
                <w:sz w:val="1"/>
                <w:szCs w:val="1"/>
                <w:color w:val="auto"/>
              </w:rPr>
            </w:pPr>
          </w:p>
        </w:tc>
      </w:tr>
      <w:tr>
        <w:trPr>
          <w:trHeight w:val="213"/>
        </w:trPr>
        <w:tc>
          <w:tcPr>
            <w:tcW w:w="2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Topper</w:t>
            </w:r>
          </w:p>
        </w:tc>
        <w:tc>
          <w:tcPr>
            <w:tcW w:w="0" w:type="dxa"/>
            <w:vAlign w:val="bottom"/>
          </w:tcPr>
          <w:p>
            <w:pPr>
              <w:spacing w:after="0"/>
              <w:rPr>
                <w:sz w:val="1"/>
                <w:szCs w:val="1"/>
                <w:color w:val="auto"/>
              </w:rPr>
            </w:pPr>
          </w:p>
        </w:tc>
      </w:tr>
      <w:tr>
        <w:trPr>
          <w:trHeight w:val="213"/>
        </w:trPr>
        <w:tc>
          <w:tcPr>
            <w:tcW w:w="2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Units</w:t>
            </w:r>
          </w:p>
        </w:tc>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68,972</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 for</w:t>
            </w:r>
          </w:p>
        </w:tc>
        <w:tc>
          <w:tcPr>
            <w:tcW w:w="0" w:type="dxa"/>
            <w:vAlign w:val="bottom"/>
          </w:tcPr>
          <w:p>
            <w:pPr>
              <w:spacing w:after="0"/>
              <w:rPr>
                <w:sz w:val="1"/>
                <w:szCs w:val="1"/>
                <w:color w:val="auto"/>
              </w:rPr>
            </w:pPr>
          </w:p>
        </w:tc>
      </w:tr>
      <w:tr>
        <w:trPr>
          <w:trHeight w:val="213"/>
        </w:trPr>
        <w:tc>
          <w:tcPr>
            <w:tcW w:w="2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the Family</w:t>
            </w:r>
          </w:p>
        </w:tc>
        <w:tc>
          <w:tcPr>
            <w:tcW w:w="0" w:type="dxa"/>
            <w:vAlign w:val="bottom"/>
          </w:tcPr>
          <w:p>
            <w:pPr>
              <w:spacing w:after="0"/>
              <w:rPr>
                <w:sz w:val="1"/>
                <w:szCs w:val="1"/>
                <w:color w:val="auto"/>
              </w:rPr>
            </w:pPr>
          </w:p>
        </w:tc>
      </w:tr>
      <w:tr>
        <w:trPr>
          <w:trHeight w:val="213"/>
        </w:trPr>
        <w:tc>
          <w:tcPr>
            <w:tcW w:w="2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of Joseph</w:t>
            </w:r>
          </w:p>
        </w:tc>
        <w:tc>
          <w:tcPr>
            <w:tcW w:w="0" w:type="dxa"/>
            <w:vAlign w:val="bottom"/>
          </w:tcPr>
          <w:p>
            <w:pPr>
              <w:spacing w:after="0"/>
              <w:rPr>
                <w:sz w:val="1"/>
                <w:szCs w:val="1"/>
                <w:color w:val="auto"/>
              </w:rPr>
            </w:pPr>
          </w:p>
        </w:tc>
      </w:tr>
      <w:tr>
        <w:trPr>
          <w:trHeight w:val="213"/>
        </w:trPr>
        <w:tc>
          <w:tcPr>
            <w:tcW w:w="2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V. Topper,</w:t>
            </w:r>
          </w:p>
        </w:tc>
        <w:tc>
          <w:tcPr>
            <w:tcW w:w="0" w:type="dxa"/>
            <w:vAlign w:val="bottom"/>
          </w:tcPr>
          <w:p>
            <w:pPr>
              <w:spacing w:after="0"/>
              <w:rPr>
                <w:sz w:val="1"/>
                <w:szCs w:val="1"/>
                <w:color w:val="auto"/>
              </w:rPr>
            </w:pPr>
          </w:p>
        </w:tc>
      </w:tr>
      <w:tr>
        <w:trPr>
          <w:trHeight w:val="288"/>
        </w:trPr>
        <w:tc>
          <w:tcPr>
            <w:tcW w:w="23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Jr.</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252"/>
        </w:trPr>
        <w:tc>
          <w:tcPr>
            <w:tcW w:w="23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Dunne</w:t>
            </w:r>
          </w:p>
        </w:tc>
        <w:tc>
          <w:tcPr>
            <w:tcW w:w="0" w:type="dxa"/>
            <w:vAlign w:val="bottom"/>
          </w:tcPr>
          <w:p>
            <w:pPr>
              <w:spacing w:after="0"/>
              <w:rPr>
                <w:sz w:val="1"/>
                <w:szCs w:val="1"/>
                <w:color w:val="auto"/>
              </w:rPr>
            </w:pPr>
          </w:p>
        </w:tc>
      </w:tr>
      <w:tr>
        <w:trPr>
          <w:trHeight w:val="213"/>
        </w:trPr>
        <w:tc>
          <w:tcPr>
            <w:tcW w:w="2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Units</w:t>
            </w:r>
          </w:p>
        </w:tc>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744,554</w:t>
            </w:r>
            <w:r>
              <w:rPr>
                <w:rFonts w:ascii="Times New Roman" w:cs="Times New Roman" w:eastAsia="Times New Roman" w:hAnsi="Times New Roman"/>
                <w:sz w:val="22"/>
                <w:szCs w:val="22"/>
                <w:color w:val="008000"/>
                <w:w w:val="96"/>
                <w:vertAlign w:val="superscript"/>
              </w:rPr>
              <w:t>(3)</w:t>
            </w:r>
          </w:p>
        </w:tc>
        <w:tc>
          <w:tcPr>
            <w:tcW w:w="920" w:type="dxa"/>
            <w:vAlign w:val="bottom"/>
            <w:vMerge w:val="restart"/>
          </w:tcPr>
          <w:p>
            <w:pPr>
              <w:jc w:val="center"/>
              <w:spacing w:after="0" w:line="387" w:lineRule="exact"/>
              <w:rPr>
                <w:sz w:val="20"/>
                <w:szCs w:val="20"/>
                <w:color w:val="auto"/>
              </w:rPr>
            </w:pPr>
            <w:r>
              <w:rPr>
                <w:rFonts w:ascii="Times New Roman" w:cs="Times New Roman" w:eastAsia="Times New Roman" w:hAnsi="Times New Roman"/>
                <w:sz w:val="34"/>
                <w:szCs w:val="34"/>
                <w:color w:val="0000FF"/>
                <w:w w:val="97"/>
                <w:vertAlign w:val="subscript"/>
              </w:rPr>
              <w:t>I</w:t>
            </w:r>
            <w:r>
              <w:rPr>
                <w:rFonts w:ascii="Times New Roman" w:cs="Times New Roman" w:eastAsia="Times New Roman" w:hAnsi="Times New Roman"/>
                <w:sz w:val="11"/>
                <w:szCs w:val="11"/>
                <w:color w:val="008000"/>
                <w:w w:val="97"/>
              </w:rPr>
              <w:t>(6)</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Manning</w:t>
            </w:r>
          </w:p>
        </w:tc>
        <w:tc>
          <w:tcPr>
            <w:tcW w:w="0" w:type="dxa"/>
            <w:vAlign w:val="bottom"/>
          </w:tcPr>
          <w:p>
            <w:pPr>
              <w:spacing w:after="0"/>
              <w:rPr>
                <w:sz w:val="1"/>
                <w:szCs w:val="1"/>
                <w:color w:val="auto"/>
              </w:rPr>
            </w:pPr>
          </w:p>
        </w:tc>
      </w:tr>
      <w:tr>
        <w:trPr>
          <w:trHeight w:val="174"/>
        </w:trPr>
        <w:tc>
          <w:tcPr>
            <w:tcW w:w="2380" w:type="dxa"/>
            <w:vAlign w:val="bottom"/>
            <w:vMerge w:val="continue"/>
          </w:tcPr>
          <w:p>
            <w:pPr>
              <w:spacing w:after="0"/>
              <w:rPr>
                <w:sz w:val="15"/>
                <w:szCs w:val="15"/>
                <w:color w:val="auto"/>
              </w:rPr>
            </w:pPr>
          </w:p>
        </w:tc>
        <w:tc>
          <w:tcPr>
            <w:tcW w:w="16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Wholesale</w:t>
            </w:r>
          </w:p>
        </w:tc>
        <w:tc>
          <w:tcPr>
            <w:tcW w:w="0" w:type="dxa"/>
            <w:vAlign w:val="bottom"/>
          </w:tcPr>
          <w:p>
            <w:pPr>
              <w:spacing w:after="0"/>
              <w:rPr>
                <w:sz w:val="1"/>
                <w:szCs w:val="1"/>
                <w:color w:val="auto"/>
              </w:rPr>
            </w:pPr>
          </w:p>
        </w:tc>
      </w:tr>
      <w:tr>
        <w:trPr>
          <w:trHeight w:val="39"/>
        </w:trPr>
        <w:tc>
          <w:tcPr>
            <w:tcW w:w="238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3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(6)</w:t>
            </w:r>
          </w:p>
        </w:tc>
        <w:tc>
          <w:tcPr>
            <w:tcW w:w="0" w:type="dxa"/>
            <w:vAlign w:val="bottom"/>
          </w:tcPr>
          <w:p>
            <w:pPr>
              <w:spacing w:after="0"/>
              <w:rPr>
                <w:sz w:val="1"/>
                <w:szCs w:val="1"/>
                <w:color w:val="auto"/>
              </w:rPr>
            </w:pPr>
          </w:p>
        </w:tc>
      </w:tr>
      <w:tr>
        <w:trPr>
          <w:trHeight w:val="252"/>
        </w:trPr>
        <w:tc>
          <w:tcPr>
            <w:tcW w:w="2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Units</w:t>
            </w:r>
          </w:p>
        </w:tc>
        <w:tc>
          <w:tcPr>
            <w:tcW w:w="16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98,337</w:t>
            </w:r>
            <w:r>
              <w:rPr>
                <w:rFonts w:ascii="Times New Roman" w:cs="Times New Roman" w:eastAsia="Times New Roman" w:hAnsi="Times New Roman"/>
                <w:sz w:val="22"/>
                <w:szCs w:val="22"/>
                <w:color w:val="008000"/>
                <w:w w:val="93"/>
                <w:vertAlign w:val="superscript"/>
              </w:rPr>
              <w:t>(3)</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34"/>
                <w:szCs w:val="34"/>
                <w:color w:val="0000FF"/>
                <w:w w:val="97"/>
                <w:vertAlign w:val="subscript"/>
              </w:rPr>
              <w:t>I</w:t>
            </w:r>
            <w:r>
              <w:rPr>
                <w:rFonts w:ascii="Times New Roman" w:cs="Times New Roman" w:eastAsia="Times New Roman" w:hAnsi="Times New Roman"/>
                <w:sz w:val="11"/>
                <w:szCs w:val="11"/>
                <w:color w:val="008000"/>
                <w:w w:val="97"/>
              </w:rPr>
              <w:t>(7)</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380" w:type="dxa"/>
            <w:vAlign w:val="bottom"/>
            <w:vMerge w:val="continue"/>
          </w:tcPr>
          <w:p>
            <w:pPr>
              <w:spacing w:after="0"/>
              <w:rPr>
                <w:sz w:val="15"/>
                <w:szCs w:val="15"/>
                <w:color w:val="auto"/>
              </w:rPr>
            </w:pPr>
          </w:p>
        </w:tc>
        <w:tc>
          <w:tcPr>
            <w:tcW w:w="16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(7)</w:t>
            </w:r>
          </w:p>
        </w:tc>
        <w:tc>
          <w:tcPr>
            <w:tcW w:w="0" w:type="dxa"/>
            <w:vAlign w:val="bottom"/>
          </w:tcPr>
          <w:p>
            <w:pPr>
              <w:spacing w:after="0"/>
              <w:rPr>
                <w:sz w:val="1"/>
                <w:szCs w:val="1"/>
                <w:color w:val="auto"/>
              </w:rPr>
            </w:pPr>
          </w:p>
        </w:tc>
      </w:tr>
      <w:tr>
        <w:trPr>
          <w:trHeight w:val="113"/>
        </w:trPr>
        <w:tc>
          <w:tcPr>
            <w:tcW w:w="238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Units</w:t>
            </w:r>
          </w:p>
        </w:tc>
        <w:tc>
          <w:tcPr>
            <w:tcW w:w="16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93,404</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38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Dunne</w:t>
            </w:r>
          </w:p>
        </w:tc>
        <w:tc>
          <w:tcPr>
            <w:tcW w:w="0" w:type="dxa"/>
            <w:vAlign w:val="bottom"/>
          </w:tcPr>
          <w:p>
            <w:pPr>
              <w:spacing w:after="0"/>
              <w:rPr>
                <w:sz w:val="1"/>
                <w:szCs w:val="1"/>
                <w:color w:val="auto"/>
              </w:rPr>
            </w:pPr>
          </w:p>
        </w:tc>
      </w:tr>
      <w:tr>
        <w:trPr>
          <w:trHeight w:val="213"/>
        </w:trPr>
        <w:tc>
          <w:tcPr>
            <w:tcW w:w="2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Units</w:t>
            </w:r>
          </w:p>
        </w:tc>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6"/>
              </w:rPr>
              <w:t>3,782,216</w:t>
            </w:r>
            <w:r>
              <w:rPr>
                <w:rFonts w:ascii="Times New Roman" w:cs="Times New Roman" w:eastAsia="Times New Roman" w:hAnsi="Times New Roman"/>
                <w:sz w:val="22"/>
                <w:szCs w:val="22"/>
                <w:color w:val="008000"/>
                <w:w w:val="96"/>
                <w:vertAlign w:val="superscript"/>
              </w:rPr>
              <w:t>(3)</w:t>
            </w:r>
          </w:p>
        </w:tc>
        <w:tc>
          <w:tcPr>
            <w:tcW w:w="920" w:type="dxa"/>
            <w:vAlign w:val="bottom"/>
          </w:tcPr>
          <w:p>
            <w:pPr>
              <w:jc w:val="center"/>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(8)</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Manning</w:t>
            </w:r>
          </w:p>
        </w:tc>
        <w:tc>
          <w:tcPr>
            <w:tcW w:w="0" w:type="dxa"/>
            <w:vAlign w:val="bottom"/>
          </w:tcPr>
          <w:p>
            <w:pPr>
              <w:spacing w:after="0"/>
              <w:rPr>
                <w:sz w:val="1"/>
                <w:szCs w:val="1"/>
                <w:color w:val="auto"/>
              </w:rPr>
            </w:pPr>
          </w:p>
        </w:tc>
      </w:tr>
      <w:tr>
        <w:trPr>
          <w:trHeight w:val="288"/>
        </w:trPr>
        <w:tc>
          <w:tcPr>
            <w:tcW w:w="23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Inc.</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r>
        <w:trPr>
          <w:trHeight w:val="252"/>
        </w:trPr>
        <w:tc>
          <w:tcPr>
            <w:tcW w:w="23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Energy</w:t>
            </w:r>
          </w:p>
        </w:tc>
        <w:tc>
          <w:tcPr>
            <w:tcW w:w="0" w:type="dxa"/>
            <w:vAlign w:val="bottom"/>
          </w:tcPr>
          <w:p>
            <w:pPr>
              <w:spacing w:after="0"/>
              <w:rPr>
                <w:sz w:val="1"/>
                <w:szCs w:val="1"/>
                <w:color w:val="auto"/>
              </w:rPr>
            </w:pPr>
          </w:p>
        </w:tc>
      </w:tr>
      <w:tr>
        <w:trPr>
          <w:trHeight w:val="213"/>
        </w:trPr>
        <w:tc>
          <w:tcPr>
            <w:tcW w:w="2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Units</w:t>
            </w:r>
          </w:p>
        </w:tc>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1,859,450</w:t>
            </w:r>
            <w:r>
              <w:rPr>
                <w:rFonts w:ascii="Times New Roman" w:cs="Times New Roman" w:eastAsia="Times New Roman" w:hAnsi="Times New Roman"/>
                <w:sz w:val="22"/>
                <w:szCs w:val="22"/>
                <w:color w:val="008000"/>
                <w:w w:val="96"/>
                <w:vertAlign w:val="superscript"/>
              </w:rPr>
              <w:t>(3)</w:t>
            </w:r>
          </w:p>
        </w:tc>
        <w:tc>
          <w:tcPr>
            <w:tcW w:w="920" w:type="dxa"/>
            <w:vAlign w:val="bottom"/>
            <w:vMerge w:val="restart"/>
          </w:tcPr>
          <w:p>
            <w:pPr>
              <w:jc w:val="center"/>
              <w:spacing w:after="0" w:line="387" w:lineRule="exact"/>
              <w:rPr>
                <w:sz w:val="20"/>
                <w:szCs w:val="20"/>
                <w:color w:val="auto"/>
              </w:rPr>
            </w:pPr>
            <w:r>
              <w:rPr>
                <w:rFonts w:ascii="Times New Roman" w:cs="Times New Roman" w:eastAsia="Times New Roman" w:hAnsi="Times New Roman"/>
                <w:sz w:val="34"/>
                <w:szCs w:val="34"/>
                <w:color w:val="0000FF"/>
                <w:w w:val="97"/>
                <w:vertAlign w:val="subscript"/>
              </w:rPr>
              <w:t>I</w:t>
            </w:r>
            <w:r>
              <w:rPr>
                <w:rFonts w:ascii="Times New Roman" w:cs="Times New Roman" w:eastAsia="Times New Roman" w:hAnsi="Times New Roman"/>
                <w:sz w:val="11"/>
                <w:szCs w:val="11"/>
                <w:color w:val="008000"/>
                <w:w w:val="97"/>
              </w:rPr>
              <w:t>(9)</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Realty</w:t>
            </w:r>
          </w:p>
        </w:tc>
        <w:tc>
          <w:tcPr>
            <w:tcW w:w="0" w:type="dxa"/>
            <w:vAlign w:val="bottom"/>
          </w:tcPr>
          <w:p>
            <w:pPr>
              <w:spacing w:after="0"/>
              <w:rPr>
                <w:sz w:val="1"/>
                <w:szCs w:val="1"/>
                <w:color w:val="auto"/>
              </w:rPr>
            </w:pPr>
          </w:p>
        </w:tc>
      </w:tr>
      <w:tr>
        <w:trPr>
          <w:trHeight w:val="174"/>
        </w:trPr>
        <w:tc>
          <w:tcPr>
            <w:tcW w:w="2380" w:type="dxa"/>
            <w:vAlign w:val="bottom"/>
            <w:vMerge w:val="continue"/>
          </w:tcPr>
          <w:p>
            <w:pPr>
              <w:spacing w:after="0"/>
              <w:rPr>
                <w:sz w:val="15"/>
                <w:szCs w:val="15"/>
                <w:color w:val="auto"/>
              </w:rPr>
            </w:pPr>
          </w:p>
        </w:tc>
        <w:tc>
          <w:tcPr>
            <w:tcW w:w="16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52"/>
        </w:trPr>
        <w:tc>
          <w:tcPr>
            <w:tcW w:w="23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ind w:left="10140"/>
        <w:spacing w:after="0" w:line="185" w:lineRule="auto"/>
        <w:rPr>
          <w:sz w:val="20"/>
          <w:szCs w:val="20"/>
          <w:color w:val="auto"/>
        </w:rPr>
      </w:pPr>
      <w:r>
        <w:rPr>
          <w:rFonts w:ascii="Times New Roman" w:cs="Times New Roman" w:eastAsia="Times New Roman" w:hAnsi="Times New Roman"/>
          <w:sz w:val="24"/>
          <w:szCs w:val="24"/>
          <w:color w:val="0000FF"/>
          <w:vertAlign w:val="subscript"/>
        </w:rPr>
        <w:t>LLC</w:t>
      </w:r>
      <w:r>
        <w:rPr>
          <w:rFonts w:ascii="Times New Roman" w:cs="Times New Roman" w:eastAsia="Times New Roman" w:hAnsi="Times New Roman"/>
          <w:sz w:val="10"/>
          <w:szCs w:val="10"/>
          <w:color w:val="008000"/>
        </w:rPr>
        <w:t>(9)</w:t>
      </w:r>
    </w:p>
    <w:p>
      <w:pPr>
        <w:sectPr>
          <w:pgSz w:w="11900" w:h="16838" w:orient="portrait"/>
          <w:cols w:equalWidth="0" w:num="1">
            <w:col w:w="10960"/>
          </w:cols>
          <w:pgMar w:left="460" w:top="219" w:right="47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104711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4055" cy="10471150"/>
                    </a:xfrm>
                    <a:prstGeom prst="rect">
                      <a:avLst/>
                    </a:prstGeom>
                    <a:noFill/>
                  </pic:spPr>
                </pic:pic>
              </a:graphicData>
            </a:graphic>
          </wp:anchor>
        </w:drawing>
        <w:t>Table II - Derivative Securities Acquired, Disposed of, or Beneficially Owned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20" w:type="dxa"/>
            <w:vAlign w:val="bottom"/>
            <w:gridSpan w:val="3"/>
          </w:tcPr>
          <w:p>
            <w:pPr>
              <w:ind w:left="10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gridSpan w:val="3"/>
          </w:tcPr>
          <w:p>
            <w:pPr>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2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2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gridSpan w:val="3"/>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700" w:type="dxa"/>
            <w:vAlign w:val="bottom"/>
            <w:tcBorders>
              <w:top w:val="single" w:sz="8" w:color="2C2C2C"/>
            </w:tcBorders>
            <w:gridSpan w:val="6"/>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80" w:type="dxa"/>
            <w:vAlign w:val="bottom"/>
            <w:tcBorders>
              <w:top w:val="single" w:sz="8" w:color="2C2C2C"/>
            </w:tcBorders>
          </w:tcPr>
          <w:p>
            <w:pPr>
              <w:spacing w:after="0"/>
              <w:rPr>
                <w:sz w:val="20"/>
                <w:szCs w:val="20"/>
                <w:color w:val="auto"/>
              </w:rPr>
            </w:pPr>
          </w:p>
        </w:tc>
        <w:tc>
          <w:tcPr>
            <w:tcW w:w="200" w:type="dxa"/>
            <w:vAlign w:val="bottom"/>
            <w:tcBorders>
              <w:top w:val="single" w:sz="8" w:color="2C2C2C"/>
            </w:tcBorders>
          </w:tcPr>
          <w:p>
            <w:pPr>
              <w:spacing w:after="0"/>
              <w:rPr>
                <w:sz w:val="20"/>
                <w:szCs w:val="20"/>
                <w:color w:val="auto"/>
              </w:rPr>
            </w:pPr>
          </w:p>
        </w:tc>
        <w:tc>
          <w:tcPr>
            <w:tcW w:w="38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gridSpan w:val="5"/>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Topper Joseph V. Jr.</w:t>
              </w:r>
            </w:hyperlink>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gridSpan w:val="3"/>
          </w:tcPr>
          <w:p>
            <w:pPr>
              <w:ind w:left="20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645 HAMILTON ST., SUITE 400</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ALLENTOWN</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PA</w:t>
            </w:r>
          </w:p>
        </w:tc>
        <w:tc>
          <w:tcPr>
            <w:tcW w:w="6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0000FF"/>
              </w:rPr>
              <w:t>18101</w:t>
            </w: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gridSpan w:val="3"/>
          </w:tcPr>
          <w:p>
            <w:pPr>
              <w:ind w:left="20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gridSpan w:val="3"/>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252"/>
        </w:trPr>
        <w:tc>
          <w:tcPr>
            <w:tcW w:w="20" w:type="dxa"/>
            <w:vAlign w:val="bottom"/>
          </w:tcPr>
          <w:p>
            <w:pPr>
              <w:spacing w:after="0"/>
              <w:rPr>
                <w:sz w:val="21"/>
                <w:szCs w:val="21"/>
                <w:color w:val="auto"/>
              </w:rPr>
            </w:pPr>
          </w:p>
        </w:tc>
        <w:tc>
          <w:tcPr>
            <w:tcW w:w="27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gridSpan w:val="5"/>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Patricia Dunne Topper Trust</w:t>
              </w:r>
            </w:hyperlink>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gridSpan w:val="3"/>
          </w:tcPr>
          <w:p>
            <w:pPr>
              <w:ind w:left="20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645 HAMILTON ST., SUITE 400</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ALLENTOWN</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PA</w:t>
            </w:r>
          </w:p>
        </w:tc>
        <w:tc>
          <w:tcPr>
            <w:tcW w:w="6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0000FF"/>
              </w:rPr>
              <w:t>18101</w:t>
            </w: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gridSpan w:val="3"/>
          </w:tcPr>
          <w:p>
            <w:pPr>
              <w:ind w:left="20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gridSpan w:val="3"/>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252"/>
        </w:trPr>
        <w:tc>
          <w:tcPr>
            <w:tcW w:w="20" w:type="dxa"/>
            <w:vAlign w:val="bottom"/>
          </w:tcPr>
          <w:p>
            <w:pPr>
              <w:spacing w:after="0"/>
              <w:rPr>
                <w:sz w:val="21"/>
                <w:szCs w:val="21"/>
                <w:color w:val="auto"/>
              </w:rPr>
            </w:pPr>
          </w:p>
        </w:tc>
        <w:tc>
          <w:tcPr>
            <w:tcW w:w="27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8"/>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DM Partners Management Co. LLC</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gridSpan w:val="3"/>
          </w:tcPr>
          <w:p>
            <w:pPr>
              <w:ind w:left="20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645 HAMILTON STREET</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500</w:t>
            </w:r>
          </w:p>
        </w:tc>
        <w:tc>
          <w:tcPr>
            <w:tcW w:w="3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ALLENTOWN</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PA</w:t>
            </w:r>
          </w:p>
        </w:tc>
        <w:tc>
          <w:tcPr>
            <w:tcW w:w="6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0000FF"/>
              </w:rPr>
              <w:t>18101</w:t>
            </w: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gridSpan w:val="3"/>
          </w:tcPr>
          <w:p>
            <w:pPr>
              <w:ind w:left="20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gridSpan w:val="3"/>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252"/>
        </w:trPr>
        <w:tc>
          <w:tcPr>
            <w:tcW w:w="20" w:type="dxa"/>
            <w:vAlign w:val="bottom"/>
          </w:tcPr>
          <w:p>
            <w:pPr>
              <w:spacing w:after="0"/>
              <w:rPr>
                <w:sz w:val="21"/>
                <w:szCs w:val="21"/>
                <w:color w:val="auto"/>
              </w:rPr>
            </w:pPr>
          </w:p>
        </w:tc>
        <w:tc>
          <w:tcPr>
            <w:tcW w:w="27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8"/>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Dunne Manning CAP Holdings I LLC</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gridSpan w:val="3"/>
          </w:tcPr>
          <w:p>
            <w:pPr>
              <w:ind w:left="20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645 HAMILTON STREET</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500</w:t>
            </w:r>
          </w:p>
        </w:tc>
        <w:tc>
          <w:tcPr>
            <w:tcW w:w="3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ALLENTOWN</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PA</w:t>
            </w:r>
          </w:p>
        </w:tc>
        <w:tc>
          <w:tcPr>
            <w:tcW w:w="6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0000FF"/>
              </w:rPr>
              <w:t>18101</w:t>
            </w: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gridSpan w:val="3"/>
          </w:tcPr>
          <w:p>
            <w:pPr>
              <w:ind w:left="20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gridSpan w:val="3"/>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252"/>
        </w:trPr>
        <w:tc>
          <w:tcPr>
            <w:tcW w:w="20" w:type="dxa"/>
            <w:vAlign w:val="bottom"/>
          </w:tcPr>
          <w:p>
            <w:pPr>
              <w:spacing w:after="0"/>
              <w:rPr>
                <w:sz w:val="21"/>
                <w:szCs w:val="21"/>
                <w:color w:val="auto"/>
              </w:rPr>
            </w:pPr>
          </w:p>
        </w:tc>
        <w:tc>
          <w:tcPr>
            <w:tcW w:w="27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tcBorders>
              <w:bottom w:val="single" w:sz="8" w:color="0000EE"/>
            </w:tcBorders>
            <w:gridSpan w:val="5"/>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Dunne Manning Partners LLC</w:t>
              </w:r>
            </w:hyperlink>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gridSpan w:val="3"/>
          </w:tcPr>
          <w:p>
            <w:pPr>
              <w:ind w:left="20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645 HAMILTON STREET</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500</w:t>
            </w:r>
          </w:p>
        </w:tc>
        <w:tc>
          <w:tcPr>
            <w:tcW w:w="3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ALLENTOWN</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PA</w:t>
            </w:r>
          </w:p>
        </w:tc>
        <w:tc>
          <w:tcPr>
            <w:tcW w:w="6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0000FF"/>
              </w:rPr>
              <w:t>18101</w:t>
            </w: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080"/>
          </w:cols>
          <w:pgMar w:left="460" w:top="191" w:right="359" w:bottom="0" w:gutter="0" w:footer="0" w:header="0"/>
        </w:sectPr>
      </w:pPr>
    </w:p>
    <w:p>
      <w:pPr>
        <w:spacing w:after="0" w:line="108"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38" w:orient="portrait"/>
          <w:cols w:equalWidth="0" w:num="1">
            <w:col w:w="11080"/>
          </w:cols>
          <w:pgMar w:left="460" w:top="191" w:right="359" w:bottom="0" w:gutter="0" w:footer="0" w:header="0"/>
          <w:type w:val="continuous"/>
        </w:sectPr>
      </w:pPr>
    </w:p>
    <w:bookmarkStart w:id="2" w:name="page3"/>
    <w:bookmarkEnd w:id="2"/>
    <w:p>
      <w:pPr>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21, 2026, Mr. Topper, who owned a 1% membership interest in MMSCC-2, LLC (which membership interest constitutes the sole volting power of the entity) sold that 1% membership interest in MMSCC-2, LLC to The Patricia Dunne Topper Trust for the Family of Joseph V. Topper, Jr. (the "Topper Trust"), which is controlled by Mr. Topper. The amount of securities noted as disposed of/acquired by Mr. Topper and the Topper Trust, respectively, is 1% of the total amount of units owned by MMSCC-2, LLC, rounded to the nearest unit.</w:t>
      </w:r>
    </w:p>
    <w:p>
      <w:pPr>
        <w:spacing w:after="0" w:line="2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median price of the Common Units on May 20, 2026.</w:t>
      </w:r>
    </w:p>
    <w:p>
      <w:pPr>
        <w:spacing w:after="0" w:line="50" w:lineRule="exact"/>
        <w:rPr>
          <w:rFonts w:ascii="Times New Roman" w:cs="Times New Roman" w:eastAsia="Times New Roman" w:hAnsi="Times New Roman"/>
          <w:sz w:val="13"/>
          <w:szCs w:val="13"/>
          <w:color w:val="008000"/>
        </w:rPr>
      </w:pPr>
    </w:p>
    <w:p>
      <w:pPr>
        <w:ind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With the exception of the common units held directly, Mr. Topper disclaims beneficial ownership of all other common units reported herein except to the extent of his pecuniary interest therein, and the inclusion of these common units in this report shall not be deemed an admission of beneficial ownership of all of the reported common units for purposes of Section 16 or for any other purpose.</w:t>
      </w:r>
    </w:p>
    <w:p>
      <w:pPr>
        <w:spacing w:after="0" w:line="7" w:lineRule="exact"/>
        <w:rPr>
          <w:rFonts w:ascii="Times New Roman" w:cs="Times New Roman" w:eastAsia="Times New Roman" w:hAnsi="Times New Roman"/>
          <w:sz w:val="13"/>
          <w:szCs w:val="13"/>
          <w:color w:val="008000"/>
        </w:rPr>
      </w:pPr>
    </w:p>
    <w:p>
      <w:pPr>
        <w:ind w:right="12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common units listed here are owned directly by entities that are controlled by Mr. Topper, as follows: 637,264 common units held by MMSCC-2, LLC (Mr. Topper controls 100% of the voting shares by virtue of his control of the Topper Trust) and 880,993 common units held by JVT-JMG EROP Holdings, LP (Mr. Topper controls the general partner and the Topper Trust holds a 45% limited partner interest).</w:t>
      </w:r>
    </w:p>
    <w:p>
      <w:pPr>
        <w:spacing w:after="0" w:line="2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Topper Trust is controlled by Mr. Topper.</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Dunne Manning Wholesale LLC is a wholly owned subsidiary of the Topper Trust.</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Topper Trust owns the general partner of Nova8516 LP ("Nova") and indirectly owns a 90% limited partner interest in Nova.</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Dunne Manning Inc. is 100% owned by the Topper Trust and Mr. Topper is its sole director.</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Energy Realty Partners, LLC is 100% owned by the Topper Trust, and Mr. Topper is its sole manager.</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0820"/>
          </w:cols>
          <w:pgMar w:left="500" w:top="125" w:right="579" w:bottom="1440" w:gutter="0" w:footer="0" w:header="0"/>
        </w:sectPr>
      </w:pPr>
    </w:p>
    <w:p>
      <w:pPr>
        <w:spacing w:after="0" w:line="1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Joseph V. Topper,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401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040130" cy="8255"/>
                    </a:xfrm>
                    <a:prstGeom prst="rect">
                      <a:avLst/>
                    </a:prstGeom>
                    <a:noFill/>
                  </pic:spPr>
                </pic:pic>
              </a:graphicData>
            </a:graphic>
          </wp:anchor>
        </w:drawing>
      </w:r>
    </w:p>
    <w:p>
      <w:pPr>
        <w:spacing w:after="0" w:line="5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Joseph V. Topper,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401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04013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Trustee of Patricia Dunne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90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1290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Topper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657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Joseph V. Topper,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401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04013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Trustee of the Member of DM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09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3309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 Management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455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1455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076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2076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Joseph V. Topper,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401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04013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Trustee of the Member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84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2884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Manager of Dunne Manning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53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2553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956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59563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Joseph V. Topper,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674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06743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Trustee of the Member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84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2884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Manager of Dunne Manning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53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2553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CAP Holdings 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424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9442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Joseph V. Topper, Jr.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5984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12598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of the Member of the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318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 the Member of Dunne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34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0934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Manning CAP Holdings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0764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2076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99" w:lineRule="exact"/>
        <w:rPr>
          <w:sz w:val="20"/>
          <w:szCs w:val="20"/>
          <w:color w:val="auto"/>
        </w:rPr>
      </w:pPr>
    </w:p>
    <w:p>
      <w:pPr>
        <w:sectPr>
          <w:pgSz w:w="11900" w:h="16838" w:orient="portrait"/>
          <w:cols w:equalWidth="0" w:num="2">
            <w:col w:w="8680" w:space="60"/>
            <w:col w:w="2080"/>
          </w:cols>
          <w:pgMar w:left="500" w:top="125" w:right="57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2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00" w:top="125" w:right="5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13" Type="http://schemas.openxmlformats.org/officeDocument/2006/relationships/hyperlink" Target="http://www.sec.gov/cgi-bin/browse-edgar?action=getcompany&amp;CIK=0001556587" TargetMode="External"/><Relationship Id="rId14" Type="http://schemas.openxmlformats.org/officeDocument/2006/relationships/hyperlink" Target="http://www.sec.gov/cgi-bin/browse-edgar?action=getcompany&amp;CIK=0001538849" TargetMode="External"/><Relationship Id="rId17" Type="http://schemas.openxmlformats.org/officeDocument/2006/relationships/hyperlink" Target="http://www.sec.gov/cgi-bin/browse-edgar?action=getcompany&amp;CIK=0001795507" TargetMode="External"/><Relationship Id="rId18" Type="http://schemas.openxmlformats.org/officeDocument/2006/relationships/hyperlink" Target="http://www.sec.gov/cgi-bin/browse-edgar?action=getcompany&amp;CIK=0001795508" TargetMode="External"/><Relationship Id="rId19" Type="http://schemas.openxmlformats.org/officeDocument/2006/relationships/hyperlink" Target="http://www.sec.gov/cgi-bin/browse-edgar?action=getcompany&amp;CIK=0001795116" TargetMode="External"/><Relationship Id="rId20" Type="http://schemas.openxmlformats.org/officeDocument/2006/relationships/hyperlink" Target="http://www.sec.gov/cgi-bin/browse-edgar?action=getcompany&amp;CIK=000179550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2026-05-26T15:00:34Z</dcterms:created>
  <dcterms:modified xsi:type="dcterms:W3CDTF">2026-05-26T15:00:34Z</dcterms:modified>
</cp:coreProperties>
</file>