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720" w:hanging="712"/>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77" w:lineRule="exact"/>
        <w:rPr>
          <w:sz w:val="24"/>
          <w:szCs w:val="24"/>
          <w:color w:val="auto"/>
        </w:rPr>
      </w:pPr>
    </w:p>
    <w:p>
      <w:pPr>
        <w:ind w:left="520"/>
        <w:spacing w:after="0"/>
        <w:tabs>
          <w:tab w:leader="none" w:pos="376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1715135</wp:posOffset>
            </wp:positionH>
            <wp:positionV relativeFrom="paragraph">
              <wp:posOffset>-7620</wp:posOffset>
            </wp:positionV>
            <wp:extent cx="656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001-35711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17145</wp:posOffset>
            </wp:positionV>
            <wp:extent cx="1131570" cy="883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157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940" w:type="dxa"/>
            <w:vAlign w:val="bottom"/>
          </w:tcPr>
          <w:p>
            <w:pPr>
              <w:spacing w:after="0"/>
              <w:rPr>
                <w:sz w:val="22"/>
                <w:szCs w:val="22"/>
                <w:color w:val="auto"/>
              </w:rPr>
            </w:pPr>
          </w:p>
        </w:tc>
        <w:tc>
          <w:tcPr>
            <w:tcW w:w="6100" w:type="dxa"/>
            <w:vAlign w:val="bottom"/>
            <w:gridSpan w:val="2"/>
          </w:tcPr>
          <w:p>
            <w:pPr>
              <w:jc w:val="center"/>
              <w:ind w:right="2659"/>
              <w:spacing w:after="0"/>
              <w:rPr>
                <w:sz w:val="20"/>
                <w:szCs w:val="20"/>
                <w:color w:val="auto"/>
              </w:rPr>
            </w:pPr>
            <w:r>
              <w:rPr>
                <w:rFonts w:ascii="Times New Roman" w:cs="Times New Roman" w:eastAsia="Times New Roman" w:hAnsi="Times New Roman"/>
                <w:sz w:val="22"/>
                <w:szCs w:val="22"/>
                <w:b w:val="1"/>
                <w:bCs w:val="1"/>
                <w:color w:val="auto"/>
                <w:w w:val="98"/>
              </w:rPr>
              <w:t>CROSSAMERICA PARTNERS LP</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6100" w:type="dxa"/>
            <w:vAlign w:val="bottom"/>
            <w:gridSpan w:val="2"/>
          </w:tcPr>
          <w:p>
            <w:pPr>
              <w:jc w:val="center"/>
              <w:ind w:right="26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7"/>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40" w:type="dxa"/>
            <w:vAlign w:val="bottom"/>
          </w:tcPr>
          <w:p>
            <w:pPr>
              <w:spacing w:after="0"/>
              <w:rPr>
                <w:sz w:val="22"/>
                <w:szCs w:val="22"/>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w w:val="98"/>
              </w:rPr>
              <w:t>45-4165414</w:t>
            </w:r>
          </w:p>
        </w:tc>
        <w:tc>
          <w:tcPr>
            <w:tcW w:w="0" w:type="dxa"/>
            <w:vAlign w:val="bottom"/>
          </w:tcPr>
          <w:p>
            <w:pPr>
              <w:spacing w:after="0"/>
              <w:rPr>
                <w:sz w:val="1"/>
                <w:szCs w:val="1"/>
                <w:color w:val="auto"/>
              </w:rPr>
            </w:pPr>
          </w:p>
        </w:tc>
      </w:tr>
      <w:tr>
        <w:trPr>
          <w:trHeight w:val="148"/>
        </w:trPr>
        <w:tc>
          <w:tcPr>
            <w:tcW w:w="3940" w:type="dxa"/>
            <w:vAlign w:val="bottom"/>
          </w:tcPr>
          <w:p>
            <w:pPr>
              <w:jc w:val="center"/>
              <w:ind w:left="1457"/>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140" w:type="dxa"/>
            <w:vAlign w:val="bottom"/>
          </w:tcPr>
          <w:p>
            <w:pPr>
              <w:spacing w:after="0"/>
              <w:rPr>
                <w:sz w:val="12"/>
                <w:szCs w:val="12"/>
                <w:color w:val="auto"/>
              </w:rPr>
            </w:pPr>
          </w:p>
        </w:tc>
        <w:tc>
          <w:tcPr>
            <w:tcW w:w="3960" w:type="dxa"/>
            <w:vAlign w:val="bottom"/>
          </w:tcPr>
          <w:p>
            <w:pPr>
              <w:jc w:val="center"/>
              <w:ind w:left="73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140" w:type="dxa"/>
            <w:vAlign w:val="bottom"/>
          </w:tcPr>
          <w:p>
            <w:pPr>
              <w:spacing w:after="0"/>
              <w:rPr>
                <w:sz w:val="16"/>
                <w:szCs w:val="16"/>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960" w:type="dxa"/>
            <w:vAlign w:val="bottom"/>
          </w:tcPr>
          <w:p>
            <w:pPr>
              <w:jc w:val="center"/>
              <w:ind w:left="779"/>
              <w:spacing w:after="0"/>
              <w:rPr>
                <w:sz w:val="20"/>
                <w:szCs w:val="20"/>
                <w:color w:val="auto"/>
              </w:rPr>
            </w:pPr>
            <w:r>
              <w:rPr>
                <w:rFonts w:ascii="Times New Roman" w:cs="Times New Roman" w:eastAsia="Times New Roman" w:hAnsi="Times New Roman"/>
                <w:sz w:val="17"/>
                <w:szCs w:val="17"/>
                <w:b w:val="1"/>
                <w:bCs w:val="1"/>
                <w:color w:val="auto"/>
                <w:w w:val="98"/>
              </w:rPr>
              <w:t>18101</w:t>
            </w:r>
          </w:p>
        </w:tc>
        <w:tc>
          <w:tcPr>
            <w:tcW w:w="0" w:type="dxa"/>
            <w:vAlign w:val="bottom"/>
          </w:tcPr>
          <w:p>
            <w:pPr>
              <w:spacing w:after="0"/>
              <w:rPr>
                <w:sz w:val="1"/>
                <w:szCs w:val="1"/>
                <w:color w:val="auto"/>
              </w:rPr>
            </w:pPr>
          </w:p>
        </w:tc>
      </w:tr>
      <w:tr>
        <w:trPr>
          <w:trHeight w:val="188"/>
        </w:trPr>
        <w:tc>
          <w:tcPr>
            <w:tcW w:w="3940" w:type="dxa"/>
            <w:vAlign w:val="bottom"/>
            <w:vMerge w:val="restart"/>
          </w:tcPr>
          <w:p>
            <w:pPr>
              <w:jc w:val="center"/>
              <w:ind w:left="1497"/>
              <w:spacing w:after="0"/>
              <w:rPr>
                <w:sz w:val="20"/>
                <w:szCs w:val="20"/>
                <w:color w:val="auto"/>
              </w:rPr>
            </w:pPr>
            <w:r>
              <w:rPr>
                <w:rFonts w:ascii="Times New Roman" w:cs="Times New Roman" w:eastAsia="Times New Roman" w:hAnsi="Times New Roman"/>
                <w:sz w:val="17"/>
                <w:szCs w:val="17"/>
                <w:b w:val="1"/>
                <w:bCs w:val="1"/>
                <w:color w:val="auto"/>
              </w:rPr>
              <w:t>645 Hamilton Street, Suite 400</w:t>
            </w:r>
          </w:p>
        </w:tc>
        <w:tc>
          <w:tcPr>
            <w:tcW w:w="2140" w:type="dxa"/>
            <w:vAlign w:val="bottom"/>
          </w:tcPr>
          <w:p>
            <w:pPr>
              <w:spacing w:after="0"/>
              <w:rPr>
                <w:sz w:val="16"/>
                <w:szCs w:val="16"/>
                <w:color w:val="auto"/>
              </w:rPr>
            </w:pPr>
          </w:p>
        </w:tc>
        <w:tc>
          <w:tcPr>
            <w:tcW w:w="3960" w:type="dxa"/>
            <w:vAlign w:val="bottom"/>
          </w:tcPr>
          <w:p>
            <w:pPr>
              <w:jc w:val="center"/>
              <w:ind w:left="79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79"/>
        </w:trPr>
        <w:tc>
          <w:tcPr>
            <w:tcW w:w="39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3960" w:type="dxa"/>
            <w:vAlign w:val="bottom"/>
            <w:vMerge w:val="restart"/>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(610) 625-8000</w:t>
            </w:r>
          </w:p>
        </w:tc>
        <w:tc>
          <w:tcPr>
            <w:tcW w:w="0" w:type="dxa"/>
            <w:vAlign w:val="bottom"/>
          </w:tcPr>
          <w:p>
            <w:pPr>
              <w:spacing w:after="0"/>
              <w:rPr>
                <w:sz w:val="1"/>
                <w:szCs w:val="1"/>
                <w:color w:val="auto"/>
              </w:rPr>
            </w:pPr>
          </w:p>
        </w:tc>
      </w:tr>
      <w:tr>
        <w:trPr>
          <w:trHeight w:val="206"/>
        </w:trPr>
        <w:tc>
          <w:tcPr>
            <w:tcW w:w="3940" w:type="dxa"/>
            <w:vAlign w:val="bottom"/>
          </w:tcPr>
          <w:p>
            <w:pPr>
              <w:jc w:val="center"/>
              <w:ind w:left="1517"/>
              <w:spacing w:after="0"/>
              <w:rPr>
                <w:sz w:val="20"/>
                <w:szCs w:val="20"/>
                <w:color w:val="auto"/>
              </w:rPr>
            </w:pPr>
            <w:r>
              <w:rPr>
                <w:rFonts w:ascii="Times New Roman" w:cs="Times New Roman" w:eastAsia="Times New Roman" w:hAnsi="Times New Roman"/>
                <w:sz w:val="17"/>
                <w:szCs w:val="17"/>
                <w:b w:val="1"/>
                <w:bCs w:val="1"/>
                <w:color w:val="auto"/>
              </w:rPr>
              <w:t>Allentown, PA</w:t>
            </w:r>
          </w:p>
        </w:tc>
        <w:tc>
          <w:tcPr>
            <w:tcW w:w="214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tcPr>
          <w:p>
            <w:pPr>
              <w:jc w:val="center"/>
              <w:ind w:left="14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40" w:type="dxa"/>
            <w:vAlign w:val="bottom"/>
          </w:tcPr>
          <w:p>
            <w:pPr>
              <w:spacing w:after="0"/>
              <w:rPr>
                <w:sz w:val="16"/>
                <w:szCs w:val="16"/>
                <w:color w:val="auto"/>
              </w:rPr>
            </w:pPr>
          </w:p>
        </w:tc>
        <w:tc>
          <w:tcPr>
            <w:tcW w:w="39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42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4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Trading Symbol(s)</w:t>
            </w:r>
          </w:p>
        </w:tc>
        <w:tc>
          <w:tcPr>
            <w:tcW w:w="396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34"/>
        </w:trPr>
        <w:tc>
          <w:tcPr>
            <w:tcW w:w="3940" w:type="dxa"/>
            <w:vAlign w:val="bottom"/>
          </w:tcPr>
          <w:p>
            <w:pPr>
              <w:jc w:val="center"/>
              <w:ind w:left="877"/>
              <w:spacing w:after="0"/>
              <w:rPr>
                <w:sz w:val="20"/>
                <w:szCs w:val="20"/>
                <w:color w:val="auto"/>
              </w:rPr>
            </w:pPr>
            <w:r>
              <w:rPr>
                <w:rFonts w:ascii="Times New Roman" w:cs="Times New Roman" w:eastAsia="Times New Roman" w:hAnsi="Times New Roman"/>
                <w:sz w:val="18"/>
                <w:szCs w:val="18"/>
                <w:color w:val="auto"/>
                <w:w w:val="99"/>
              </w:rPr>
              <w:t>Common Units</w:t>
            </w:r>
          </w:p>
        </w:tc>
        <w:tc>
          <w:tcPr>
            <w:tcW w:w="2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CAPL</w:t>
            </w:r>
          </w:p>
        </w:tc>
        <w:tc>
          <w:tcPr>
            <w:tcW w:w="396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0" w:type="dxa"/>
        <w:tblCellMar>
          <w:top w:w="0" w:type="dxa"/>
          <w:left w:w="0" w:type="dxa"/>
          <w:bottom w:w="0" w:type="dxa"/>
          <w:right w:w="0" w:type="dxa"/>
        </w:tblCellMar>
      </w:tblPr>
      <w:tr>
        <w:trPr>
          <w:trHeight w:val="248"/>
        </w:trPr>
        <w:tc>
          <w:tcPr>
            <w:tcW w:w="5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5380" w:type="dxa"/>
            <w:vAlign w:val="bottom"/>
          </w:tcPr>
          <w:p>
            <w:pPr>
              <w:ind w:left="3200"/>
              <w:spacing w:after="0" w:line="21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9"/>
                <w:szCs w:val="19"/>
                <w:color w:val="auto"/>
              </w:rPr>
              <w:t>☒</w:t>
            </w:r>
          </w:p>
        </w:tc>
      </w:tr>
      <w:tr>
        <w:trPr>
          <w:trHeight w:val="216"/>
        </w:trPr>
        <w:tc>
          <w:tcPr>
            <w:tcW w:w="50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5380" w:type="dxa"/>
            <w:vAlign w:val="bottom"/>
          </w:tcPr>
          <w:p>
            <w:pPr>
              <w:ind w:left="320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5020" w:type="dxa"/>
            <w:vAlign w:val="bottom"/>
          </w:tcPr>
          <w:p>
            <w:pPr>
              <w:spacing w:after="0"/>
              <w:rPr>
                <w:sz w:val="24"/>
                <w:szCs w:val="24"/>
                <w:color w:val="auto"/>
              </w:rPr>
            </w:pPr>
          </w:p>
        </w:tc>
        <w:tc>
          <w:tcPr>
            <w:tcW w:w="5380" w:type="dxa"/>
            <w:vAlign w:val="bottom"/>
          </w:tcPr>
          <w:p>
            <w:pPr>
              <w:ind w:left="320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 2026, the registrant had outstanding 38,154,331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PAGE</w:t>
            </w:r>
          </w:p>
        </w:tc>
        <w:tc>
          <w:tcPr>
            <w:tcW w:w="280" w:type="dxa"/>
            <w:vAlign w:val="bottom"/>
          </w:tcPr>
          <w:p>
            <w:pPr>
              <w:spacing w:after="0"/>
              <w:rPr>
                <w:sz w:val="14"/>
                <w:szCs w:val="14"/>
                <w:color w:val="auto"/>
              </w:rPr>
            </w:pPr>
          </w:p>
        </w:tc>
      </w:tr>
      <w:tr>
        <w:trPr>
          <w:trHeight w:val="290"/>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Commonly Used Defined Terms</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3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96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540" w:type="dxa"/>
            <w:vAlign w:val="bottom"/>
            <w:gridSpan w:val="8"/>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March 31, 2026 (Unaudited) and December 31, 2025</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 and Comprehensive Income for the Three Months Ended March 31, 2026 and 2025</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3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680" w:type="dxa"/>
            <w:vAlign w:val="bottom"/>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Notes to Consolidated Financial Statements (Unaudited)</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34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7"/>
                <w:szCs w:val="17"/>
                <w:color w:val="auto"/>
              </w:rPr>
            </w:pPr>
          </w:p>
        </w:tc>
        <w:tc>
          <w:tcPr>
            <w:tcW w:w="2480" w:type="dxa"/>
            <w:vAlign w:val="bottom"/>
            <w:gridSpan w:val="4"/>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140" w:type="dxa"/>
            <w:vAlign w:val="bottom"/>
            <w:gridSpan w:val="10"/>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r>
      <w:tr>
        <w:trPr>
          <w:trHeight w:val="196"/>
        </w:trPr>
        <w:tc>
          <w:tcPr>
            <w:tcW w:w="3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60" w:type="dxa"/>
            <w:vAlign w:val="bottom"/>
            <w:tcBorders>
              <w:top w:val="single" w:sz="8" w:color="0000FF"/>
            </w:tcBorders>
            <w:gridSpan w:val="5"/>
          </w:tcPr>
          <w:p>
            <w:pPr>
              <w:spacing w:after="0"/>
              <w:rPr>
                <w:sz w:val="17"/>
                <w:szCs w:val="17"/>
                <w:color w:val="auto"/>
              </w:rPr>
            </w:pPr>
          </w:p>
        </w:tc>
        <w:tc>
          <w:tcPr>
            <w:tcW w:w="6840" w:type="dxa"/>
            <w:vAlign w:val="bottom"/>
            <w:gridSpan w:val="9"/>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7900" w:type="dxa"/>
            <w:vAlign w:val="bottom"/>
            <w:gridSpan w:val="15"/>
          </w:tcPr>
          <w:p>
            <w:pPr>
              <w:spacing w:after="0"/>
              <w:rPr>
                <w:sz w:val="17"/>
                <w:szCs w:val="17"/>
                <w:color w:val="auto"/>
              </w:rPr>
            </w:pP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96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96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r>
      <w:tr>
        <w:trPr>
          <w:trHeight w:val="1215"/>
        </w:trPr>
        <w:tc>
          <w:tcPr>
            <w:tcW w:w="3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certain acronyms and terms generally used in the industry and throughout this document: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CrossAmerica Partners LP and subsidiaries: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CrossAmerica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 Partners LP, the Partnership, CAPL, we, us, our</w:t>
            </w:r>
          </w:p>
        </w:tc>
      </w:tr>
      <w:tr>
        <w:trPr>
          <w:trHeight w:val="338"/>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CrossAmerica Partners LP related parties: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DMI</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Dunne Manning Inc. (formerly Lehigh Gas Corporation), an entity affiliated with the Topper Group</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 GP LLC, the General Partner of CrossAmerica, a Delaware limited liability company, indirectly</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owned by the Topper Group.</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Topper Group</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Joseph V. Topper, Jr., collectively with his affiliates and family trusts that have ownership interests in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Partnership. Joseph V. Topper, Jr. is the founder of the Partnership and a member of the Board. The Topper Group</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is a related party and large holder of our common units.</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TopStar</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TopStar Inc., an entity affiliated with a family member of Joseph V. Topper, Jr. TopStar is an operator of</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convenience stores that purchases fuel from us.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Defined Terms:</w:t>
            </w:r>
          </w:p>
        </w:tc>
        <w:tc>
          <w:tcPr>
            <w:tcW w:w="9000" w:type="dxa"/>
            <w:vAlign w:val="bottom"/>
          </w:tcPr>
          <w:p>
            <w:pPr>
              <w:spacing w:after="0"/>
              <w:rPr>
                <w:sz w:val="24"/>
                <w:szCs w:val="24"/>
                <w:color w:val="auto"/>
              </w:rPr>
            </w:pP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Board of Directors of our General Partner</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Bonus Plan</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Performance-Based Bonus Compensation Policy is one of the key components of “at-risk” compensation. The</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Bonus Plan is utilized to reward short-term annual performance achievements and to motivate and reward Topper</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Group employees for their contributions toward meeting financial and strategic goals.</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and Restatement Agreement, dated as of March 31, 2023, as amended by the First Amendment to</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Amendment and Restatement Agreement, dated as of February 20, 2024, among the Partnership and Lehigh Gas</w:t>
            </w:r>
          </w:p>
        </w:tc>
      </w:tr>
      <w:tr>
        <w:trPr>
          <w:trHeight w:val="216"/>
        </w:trPr>
        <w:tc>
          <w:tcPr>
            <w:tcW w:w="22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Wholesale Services, Inc., as borrowers, the guarantors from time to time party thereto, the lenders from time to</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time party thereto and Citizens Bank, N.A., as administrative agent.</w:t>
            </w:r>
          </w:p>
        </w:tc>
      </w:tr>
      <w:tr>
        <w:trPr>
          <w:trHeight w:val="31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DTW</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Dealer tank wagon contracts, which are variable market-based cent per gallon priced wholesale motor fuel</w:t>
            </w:r>
          </w:p>
        </w:tc>
      </w:tr>
      <w:tr>
        <w:trPr>
          <w:trHeight w:val="234"/>
        </w:trPr>
        <w:tc>
          <w:tcPr>
            <w:tcW w:w="22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distribution or supply contracts; DTW also refers to the pricing methodology under such contracts</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Earnings before interest, taxes, depreciation, amortization and accretion, a non-GAAP financial measure</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CrossAmerica’s Annual Report on Form 10-K for the year ended December 31, 2025</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Getty</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Getty Properties Corp.</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 Code</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Initial public offering of CrossAmerica Partners LP on October 30, 2012</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MD&amp;A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432"/>
        </w:trPr>
        <w:tc>
          <w:tcPr>
            <w:tcW w:w="2240" w:type="dxa"/>
            <w:vAlign w:val="bottom"/>
          </w:tcPr>
          <w:p>
            <w:pPr>
              <w:spacing w:after="0"/>
              <w:rPr>
                <w:sz w:val="24"/>
                <w:szCs w:val="24"/>
                <w:color w:val="auto"/>
              </w:rPr>
            </w:pPr>
          </w:p>
        </w:tc>
        <w:tc>
          <w:tcPr>
            <w:tcW w:w="900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i</w:t>
            </w:r>
          </w:p>
        </w:tc>
      </w:tr>
      <w:tr>
        <w:trPr>
          <w:trHeight w:val="763"/>
        </w:trPr>
        <w:tc>
          <w:tcPr>
            <w:tcW w:w="224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Omnibus Agreement</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Omnibus Agreement, effective January 1, 2020, by and among the Partnership, the General Partner and DMI.</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terms of the Omnibus Agreement were approved by the independent conflicts committee of the Board, which</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is composed of the independent directors of the Board. Pursuant to the Omnibus Agreement, DMI agrees, among</w:t>
            </w:r>
          </w:p>
        </w:tc>
      </w:tr>
      <w:tr>
        <w:trPr>
          <w:trHeight w:val="216"/>
        </w:trPr>
        <w:tc>
          <w:tcPr>
            <w:tcW w:w="2260" w:type="dxa"/>
            <w:vAlign w:val="bottom"/>
          </w:tcPr>
          <w:p>
            <w:pPr>
              <w:spacing w:after="0"/>
              <w:rPr>
                <w:sz w:val="18"/>
                <w:szCs w:val="18"/>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things, to provide, or cause to be provided, to the Partnership certain management services at cost without</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markup.</w:t>
            </w:r>
          </w:p>
        </w:tc>
      </w:tr>
      <w:tr>
        <w:trPr>
          <w:trHeight w:val="31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Agreement</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CrossAmerica Partners LP, dated as of</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February 6, 2020</w:t>
            </w:r>
          </w:p>
        </w:tc>
      </w:tr>
      <w:tr>
        <w:trPr>
          <w:trHeight w:val="31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Predecessor Entity</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Wholesale distribution contracts and real property and leasehold interests contributed to the Partnership in</w:t>
            </w:r>
          </w:p>
        </w:tc>
      </w:tr>
      <w:tr>
        <w:trPr>
          <w:trHeight w:val="234"/>
        </w:trPr>
        <w:tc>
          <w:tcPr>
            <w:tcW w:w="2260" w:type="dxa"/>
            <w:vAlign w:val="bottom"/>
          </w:tcPr>
          <w:p>
            <w:pPr>
              <w:spacing w:after="0"/>
              <w:rPr>
                <w:sz w:val="20"/>
                <w:szCs w:val="20"/>
                <w:color w:val="auto"/>
              </w:rPr>
            </w:pP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connection with the IPO</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33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8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432"/>
        </w:trPr>
        <w:tc>
          <w:tcPr>
            <w:tcW w:w="226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ii</w:t>
            </w:r>
          </w:p>
        </w:tc>
      </w:tr>
      <w:tr>
        <w:trPr>
          <w:trHeight w:val="763"/>
        </w:trPr>
        <w:tc>
          <w:tcPr>
            <w:tcW w:w="226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(Thousands of Dollars, except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54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tcPr>
          <w:p>
            <w:pPr>
              <w:jc w:val="right"/>
              <w:ind w:right="640"/>
              <w:spacing w:after="0" w:line="13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480"/>
              <w:spacing w:after="0" w:line="13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00" w:type="dxa"/>
            <w:vAlign w:val="bottom"/>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$656 and $635, respectively</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from related parties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interest rate swap contracts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contracts, less current portion</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2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1,002,799</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00" w:type="dxa"/>
            <w:vAlign w:val="bottom"/>
            <w:tcBorders>
              <w:top w:val="single" w:sz="8" w:color="CFF0FC"/>
            </w:tcBorders>
          </w:tcPr>
          <w:p>
            <w:pPr>
              <w:spacing w:after="0"/>
              <w:rPr>
                <w:sz w:val="17"/>
                <w:szCs w:val="17"/>
                <w:color w:val="auto"/>
              </w:rPr>
            </w:pPr>
          </w:p>
        </w:tc>
        <w:tc>
          <w:tcPr>
            <w:tcW w:w="23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2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interest rate swap contracts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Motor fuel and sales taxes payable</w:t>
            </w:r>
          </w:p>
        </w:tc>
        <w:tc>
          <w:tcPr>
            <w:tcW w:w="2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and finance lease obligations, less current portion</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contracts, less current portion</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membership interests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units— 38,154,331 and 38,135,078 units issued and</w:t>
            </w:r>
          </w:p>
        </w:tc>
        <w:tc>
          <w:tcPr>
            <w:tcW w:w="2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(101,280)</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deficit</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(102,328)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1,002,799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460" w:type="dxa"/>
            <w:vAlign w:val="bottom"/>
            <w:gridSpan w:val="5"/>
          </w:tcPr>
          <w:p>
            <w:pPr>
              <w:jc w:val="center"/>
              <w:ind w:left="169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4"/>
                <w:szCs w:val="24"/>
                <w:color w:val="auto"/>
              </w:rPr>
            </w:pPr>
          </w:p>
        </w:tc>
        <w:tc>
          <w:tcPr>
            <w:tcW w:w="234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-4996815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-4979670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-3599815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-1250950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(Thousands of Dollars, except unit and per unit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8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4"/>
                <w:szCs w:val="24"/>
                <w:color w:val="auto"/>
                <w:vertAlign w:val="superscript"/>
              </w:rPr>
              <w:t>(a)</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841,830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862,475</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(b)</w:t>
            </w:r>
          </w:p>
        </w:tc>
        <w:tc>
          <w:tcPr>
            <w:tcW w:w="1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772,661</w:t>
            </w:r>
          </w:p>
        </w:tc>
        <w:tc>
          <w:tcPr>
            <w:tcW w:w="100" w:type="dxa"/>
            <w:vAlign w:val="bottom"/>
          </w:tcPr>
          <w:p>
            <w:pPr>
              <w:spacing w:after="0"/>
              <w:rPr>
                <w:sz w:val="18"/>
                <w:szCs w:val="18"/>
                <w:color w:val="auto"/>
              </w:rPr>
            </w:pPr>
          </w:p>
        </w:tc>
      </w:tr>
      <w:tr>
        <w:trPr>
          <w:trHeight w:val="210"/>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89,814</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(c)</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58,874</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1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Pr>
          <w:p>
            <w:pPr>
              <w:spacing w:after="0"/>
              <w:rPr>
                <w:sz w:val="18"/>
                <w:szCs w:val="18"/>
                <w:color w:val="auto"/>
              </w:rPr>
            </w:pPr>
          </w:p>
        </w:tc>
      </w:tr>
      <w:tr>
        <w:trPr>
          <w:trHeight w:val="210"/>
        </w:trPr>
        <w:tc>
          <w:tcPr>
            <w:tcW w:w="58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92,850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1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8"/>
                <w:szCs w:val="18"/>
                <w:color w:val="auto"/>
              </w:rPr>
            </w:pPr>
          </w:p>
        </w:tc>
      </w:tr>
      <w:tr>
        <w:trPr>
          <w:trHeight w:val="20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(12,844)</w:t>
            </w:r>
          </w:p>
        </w:tc>
      </w:tr>
      <w:tr>
        <w:trPr>
          <w:trHeight w:val="20"/>
        </w:trPr>
        <w:tc>
          <w:tcPr>
            <w:tcW w:w="586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(10,713)</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(3,598)</w:t>
            </w:r>
          </w:p>
        </w:tc>
      </w:tr>
      <w:tr>
        <w:trPr>
          <w:trHeight w:val="20"/>
        </w:trPr>
        <w:tc>
          <w:tcPr>
            <w:tcW w:w="586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18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available to limited partners</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(7,780)</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unit</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8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units: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38,142,565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38,073,986</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38,301,882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38,073,986</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 includes excise taxes of:</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73,350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includes rent income of:</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 excludes depreciation, amortization and accretion</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 includes rent expense of:</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 includes rent expense of:</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-2510790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-2228215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 of Dollars, except unit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7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Limited Partners' Interest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Pr>
          <w:p>
            <w:pPr>
              <w:spacing w:after="0"/>
              <w:rPr>
                <w:sz w:val="13"/>
                <w:szCs w:val="13"/>
                <w:color w:val="auto"/>
              </w:rPr>
            </w:pP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27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38,135,078</w:t>
            </w:r>
          </w:p>
        </w:tc>
        <w:tc>
          <w:tcPr>
            <w:tcW w:w="26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(101,280)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(1,048)</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interest rate swap contracts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58"/>
        </w:trPr>
        <w:tc>
          <w:tcPr>
            <w:tcW w:w="564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income</w:t>
            </w: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2,619</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2,619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Comprehensive income</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13,278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units related to 2025 Bonus Plan</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9,345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9,908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(20,090)</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38,154,331</w:t>
            </w:r>
          </w:p>
        </w:tc>
        <w:tc>
          <w:tcPr>
            <w:tcW w:w="4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(111,005)</w:t>
            </w:r>
          </w:p>
        </w:tc>
        <w:tc>
          <w:tcPr>
            <w:tcW w:w="340" w:type="dxa"/>
            <w:vAlign w:val="bottom"/>
            <w:gridSpan w:val="2"/>
            <w:shd w:val="clear" w:color="auto" w:fill="CFF0FC"/>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(109,434)</w:t>
            </w:r>
          </w:p>
        </w:tc>
        <w:tc>
          <w:tcPr>
            <w:tcW w:w="0" w:type="dxa"/>
            <w:vAlign w:val="bottom"/>
          </w:tcPr>
          <w:p>
            <w:pPr>
              <w:spacing w:after="0"/>
              <w:rPr>
                <w:sz w:val="1"/>
                <w:szCs w:val="1"/>
                <w:color w:val="auto"/>
              </w:rPr>
            </w:pPr>
          </w:p>
        </w:tc>
      </w:tr>
      <w:tr>
        <w:trPr>
          <w:trHeight w:val="129"/>
        </w:trPr>
        <w:tc>
          <w:tcPr>
            <w:tcW w:w="564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38,059,702</w:t>
            </w:r>
          </w:p>
        </w:tc>
        <w:tc>
          <w:tcPr>
            <w:tcW w:w="46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(61,371)</w:t>
            </w:r>
          </w:p>
        </w:tc>
        <w:tc>
          <w:tcPr>
            <w:tcW w:w="340" w:type="dxa"/>
            <w:vAlign w:val="bottom"/>
            <w:gridSpan w:val="2"/>
            <w:shd w:val="clear" w:color="auto" w:fill="CFF0FC"/>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7,595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(53,776)</w:t>
            </w: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(7,115)</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interest rate swap contracts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(3,928)</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(3,928)</w:t>
            </w: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Realized gain on interest rate swap contracts</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(921)</w:t>
            </w:r>
          </w:p>
        </w:tc>
        <w:tc>
          <w:tcPr>
            <w:tcW w:w="1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58"/>
        </w:trPr>
        <w:tc>
          <w:tcPr>
            <w:tcW w:w="5640" w:type="dxa"/>
            <w:vAlign w:val="bottom"/>
            <w:shd w:val="clear" w:color="auto" w:fill="CFF0FC"/>
          </w:tcPr>
          <w:p>
            <w:pPr>
              <w:ind w:left="220"/>
              <w:spacing w:after="0" w:line="158" w:lineRule="exact"/>
              <w:rPr>
                <w:sz w:val="20"/>
                <w:szCs w:val="20"/>
                <w:color w:val="auto"/>
              </w:rPr>
            </w:pPr>
            <w:r>
              <w:rPr>
                <w:rFonts w:ascii="Times New Roman" w:cs="Times New Roman" w:eastAsia="Times New Roman" w:hAnsi="Times New Roman"/>
                <w:sz w:val="14"/>
                <w:szCs w:val="14"/>
                <w:color w:val="auto"/>
              </w:rPr>
              <w:t>reclassified from AOCI into interest expense</w:t>
            </w:r>
          </w:p>
        </w:tc>
        <w:tc>
          <w:tcPr>
            <w:tcW w:w="120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other comprehensive loss</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(4,849)</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(7,115)</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(4,849)</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(11,964)</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units related to 2024 Bonus Plan</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of equity awards, net of units withheld for tax</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30,574</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preferred membership interests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 effect of intra-entity transfer of assets</w:t>
            </w: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49"/>
        </w:trPr>
        <w:tc>
          <w:tcPr>
            <w:tcW w:w="5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(20,054)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(20,054)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38,097,513</w:t>
            </w:r>
          </w:p>
        </w:tc>
        <w:tc>
          <w:tcPr>
            <w:tcW w:w="46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(88,730)</w:t>
            </w:r>
          </w:p>
        </w:tc>
        <w:tc>
          <w:tcPr>
            <w:tcW w:w="340" w:type="dxa"/>
            <w:vAlign w:val="bottom"/>
            <w:gridSpan w:val="2"/>
            <w:shd w:val="clear" w:color="auto" w:fill="CFF0FC"/>
          </w:tcPr>
          <w:p>
            <w:pPr>
              <w:jc w:val="right"/>
              <w:ind w:right="12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2,746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(85,984)</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-2065655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-2065655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-2065655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-2065655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-1482090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-1465580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-1482090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-1465580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-1482090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-1465580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-805180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-805180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(Thousands of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776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 loss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(3,692)</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Equity-based employee and director compensation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(6,116)</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(5,037)</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8"/>
                <w:szCs w:val="18"/>
                <w:color w:val="auto"/>
              </w:rPr>
            </w:pPr>
          </w:p>
        </w:tc>
      </w:tr>
      <w:tr>
        <w:trPr>
          <w:trHeight w:val="209"/>
        </w:trPr>
        <w:tc>
          <w:tcPr>
            <w:tcW w:w="7760" w:type="dxa"/>
            <w:vAlign w:val="bottom"/>
            <w:tcBorders>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received on notes receivable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(10,114)</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776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Borrowings under the Credit Facility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the Credit Facility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(18,500)</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paid on distribution equivalent rights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(19,981)</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(10,345)</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-1842770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DESCRIPTION OF BUSINESS AND OTHER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consists of:</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wholesale distribution of motor fuels;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owning or leasing of sites used in the retail distribution of motor fuels and, in turn, generating rental income from the lease or sublease of the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sale of motor fuels to end customers at retail sites operated by commission agents and ourselves;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retail sites, including the sale of convenience merchandise to end customers.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U.S. GAAP for interim financial information and with the instructions to Form 10-Q and the Exchange Act. Accordingly, they do not include all of the information and notes required by U.S. GAAP for complete financial statements. In the opinion of management, all adjustments considered necessary for a fair presentation have been included. All such adjustments are of a normal recurring nature unless disclosed otherwise. Management believes that the disclosures made are adequate to keep the information presented from being misleading. The financial statements contained herein should be read in conjunction with the consolidated financial statements and notes thereto included in our Form 10-K. Financial information as of March 31, 2026 and for the three months ended March 31, 2026 and 2025 included in the consolidated financial statements has been derived from our unaudited financial statements. Financial information as of December 31, 2025 has been derived from our audited financial statements and notes thereto as of that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results for the three months ended March 31, 2026 are not necessarily indicative of the results that may be expected for the year ending December 31, 2026. Our business exhibits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activity months) and lowest during the winter months in the first and fourth quarters.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periods. Actual results and outcomes could differ from those estimates and assumptions. On an ongoing basis, management reviews its estimates based on currently available information. Changes in facts and circumstances could result in revised estimates and assumptions.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prior-year balance sheet amounts were reclassified to conform to the current-year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Pending Adoption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The amendments in this new guidance require disclosure, in the notes to financial statements, of specified information about certain costs and expenses, including with respect to purchases of inventory, employee compensation, depreciation and intangible asset amortization. These new disclosures will be required in our Annual Report on Form 10-K for the year ending December 31, 2027 and interim and annual reports thereafter. Although we do not anticipate the impact of adopting this guidance will be material, it will affect our disclosures.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respectively, we purchased approximately 81% and 79% of our motor fuel from four suppliers.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22% of our motor fuel gallons sold for each of the three months ended March 31, 2026 and 2025 were delivered by our top two carriers.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respectively, approximately 57% and 55% of our merchandise was purchased from one supplier.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ASSETS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classified 17 sites and 24 sites as held for sale at March 31, 2026 and December 31, 2025, respectively, which are expected to be sold within one year of such classification. Assets held for sale were as follows (in thousands):</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site improvements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(5,302)</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(7,849)</w:t>
            </w: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-454025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-454025</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has continued to focus on optimizing the class of trade for its assets, which has included divesting certain assets, often lower performing, while seeking to maintain a wholesale fuel supply relationship whenever possible. During the three months ended March 31, 2026, we sold 16 properties for $12.7 million in proceeds, resulting in a net gain of $6.3 million. During the three months ended March 31, 2025, we sold seven properties for $8.6 million in proceeds, resulting in a net gain of $5.6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information regarding impairment charges primarily recorded upon classifying sites within assets held for sale.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Merchandise</w:t>
            </w:r>
          </w:p>
        </w:tc>
        <w:tc>
          <w:tcPr>
            <w:tcW w:w="3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Motor fuel</w:t>
            </w:r>
          </w:p>
        </w:tc>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2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45"/>
        </w:trPr>
        <w:tc>
          <w:tcPr>
            <w:tcW w:w="1700" w:type="dxa"/>
            <w:vAlign w:val="bottom"/>
          </w:tcPr>
          <w:p>
            <w:pPr>
              <w:spacing w:after="0"/>
              <w:rPr>
                <w:sz w:val="24"/>
                <w:szCs w:val="24"/>
                <w:color w:val="auto"/>
              </w:rPr>
            </w:pPr>
          </w:p>
        </w:tc>
        <w:tc>
          <w:tcPr>
            <w:tcW w:w="2400" w:type="dxa"/>
            <w:vAlign w:val="bottom"/>
            <w:tcBorders>
              <w:top w:val="single" w:sz="8" w:color="CFF0FC"/>
            </w:tcBorders>
          </w:tcPr>
          <w:p>
            <w:pPr>
              <w:spacing w:after="0"/>
              <w:rPr>
                <w:sz w:val="24"/>
                <w:szCs w:val="24"/>
                <w:color w:val="auto"/>
              </w:rPr>
            </w:pPr>
          </w:p>
        </w:tc>
        <w:tc>
          <w:tcPr>
            <w:tcW w:w="298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-1070610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265,343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268,873</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site improvements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309,851</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20,760</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other</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under finance leases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32,735</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r>
      <w:tr>
        <w:trPr>
          <w:trHeight w:val="209"/>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960,698</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(382,411)</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 of right-of-use assets under finance leases</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(30,601)</w:t>
            </w:r>
          </w:p>
        </w:tc>
      </w:tr>
      <w:tr>
        <w:trPr>
          <w:trHeight w:val="20"/>
        </w:trPr>
        <w:tc>
          <w:tcPr>
            <w:tcW w:w="69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589,385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547,686</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impairment charges of $1.5 million and $8.8 million during the three months ended March 31, 2026 and 2025, respectively, included within depreciation, amortization and accretion expense on the statements of operations. These impairment charges were primarily related to sites initially classified within assets held for sale in connection with our ongoing real estate rationalization effort.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0"/>
                <w:szCs w:val="10"/>
                <w:color w:val="auto"/>
              </w:rPr>
            </w:pPr>
          </w:p>
        </w:tc>
        <w:tc>
          <w:tcPr>
            <w:tcW w:w="9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1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8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Wholesale fuel supply contracts/rights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147,528</w:t>
            </w: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147,528</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Trademarks/licenses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150,409</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150,366</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-170815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-170815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balances for long-term debt and finance lease obligations were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741,823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696,951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w:t>
            </w:r>
          </w:p>
        </w:tc>
        <w:tc>
          <w:tcPr>
            <w:tcW w:w="1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732,012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693,486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Noncurrent portion, net of deferred financing costs</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726,197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687,187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-916940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-916940</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principal payments on debt and future minimum rental payments on finance lease obligations were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Debt</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vMerge w:val="restart"/>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future payments</w:t>
            </w: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Less impact of discounting</w:t>
            </w:r>
          </w:p>
        </w:tc>
        <w:tc>
          <w:tcPr>
            <w:tcW w:w="4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4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59,823</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4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Long-term portion</w:t>
            </w:r>
          </w:p>
        </w:tc>
        <w:tc>
          <w:tcPr>
            <w:tcW w:w="4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50,012</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-25400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Facility is secured by substantially all of the Partnership’s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outstanding totaled $4.9 million at both March 31, 2026 and December 31,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the interest rate swap contracts into account, the effective interest rate on our Credit Facility was 5.6% (with an applicable margin of 2.00%) at both March 31, 2026 and December 31, 2025. See Note 7 for additional information on our interest rate swap contracts.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were in compliance with our financial covenants under the Credit Facility. The amount of availability under the Credit Facility at March 31, 2026, after taking into consideration debt covenant restrictions, was $238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interest, including debt and finance lease obligations, amounted to $10.3 million and $12.4 million for the three months ended March 31,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2012, the Predecessor Entity entered into a 15-year master lease agreement with renewal options of up to an additional 20 years with Getty. Since then, the agreement has been amended from time to time to add or remove sites. As of December 31, 2025, we leased 106 sites under this lease. We paid fixed rent, which increased 1.5% per year. In addition, the lease required variable lease payments based on gallons of motor fuel sold.</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fair value of the land at lease inception was estimated to represent more than 25% of the total fair value of the real property subject to the lease, the land element of the lease was analyzed for operating or capital treatment separately from the rest of the property subject to the lease. The land element of the lease was classified as an operating lease and all of the other property was classified as a capital lease. This assessment was not required to be reassessed upon adoption of ASC 842–Leases.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31, 2026, we entered into an amendment of this lease with Getty. The amendment reset the rents for all 106 sites to an aggregate $6.9 million in annual rent, subject to annual escalations of 1.5%. The amendment also removed provisions requiring us to pay variable rent based on fuel volume.</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this amendment, we also exercised a renewal option that extends the term through April 30, 2037 and have an additional renewal option that could extend the term through April 30, 2047. The amendment provides for a purchase option to us that can be exercised between October 1, 2026 and June 30, 2027 for up to 25 sites for up to $6.6 million, which is reasonably certain to be exercised. The amendment also provides for a purchase option to us for up to nine additional sites during certain timeframes of the term at values to be agreed upon, which is not reasonably certain to be exercised. Getty has the option to recapture up to six sites during certain timeframes of the term as well, which is also not reasonably certain to be exercised. We have a right of first offer should Getty seek to sell or convey any of the leased properties.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triggered a reassessment of the lease accounting. Effective January 31, 2026, we are accounting for the modified lease as a finance lease. With respect to the 25 sites for which it is reasonably certain we will exercise our purchase option and have the intent and ability to do so, we are accounting for the finance lease using an anticipated purchase date of October 1, 2026. With respect to the 81 remaining sites, we are accounting for the finance lease through the end of the current term expiring on April 30, 2037. The weighted-average discount rate for this finance lease obligation was 6.0% at March 31, 2026, which resulted in recording increases in our finance lease obligations and right-of-use assets under finance leases of $56.3 million during the first quarter of 2026. Interest on finance lease obligations amounted to $0.3 million and $0.1 million for the three months ended March 31, 2026 and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INTEREST RATE SWAP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2026 and 2025, we held the following interest rate swap contracts (in thousands):</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60" w:type="dxa"/>
            <w:vAlign w:val="bottom"/>
          </w:tcPr>
          <w:p>
            <w:pPr>
              <w:spacing w:after="0"/>
              <w:rPr>
                <w:sz w:val="15"/>
                <w:szCs w:val="15"/>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5"/>
                <w:szCs w:val="15"/>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30, 2028</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April 2023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8, 2028</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Forward starting April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April 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Spot starting November 2023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Spot starting November 2023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interest rate swap contracts fix the rate on a portion of our SOFR-based borrowings under our Credit Facility, have been designated as cash flow hedges and are expected to be highly effective.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these interest rate swap contracts was reported as a separate line item within current assets, current liabilities, noncurrent assets and noncurrent liabilities, as applicable. See Note 10 for additional information on the fair value of the interest rate swap contracts.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report the unrealized gains and losses on our interest rate swap contracts designated as highly effective cash flow hedges as a component of other comprehensive income and reclassify such gains and losses into earnings (interest expense on our statement of operations) in the same period during which the hedged interest expense is recorded. We recognized a net realized gain from settlements of the interest rate swap contracts of $0.3 million and $0.9 million for the three months ended March 31, 2026 and 2025, respectively.</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estimate that a net gain of $1.0 million will be reclassified from AOCI into interest expense during the next 12 months; however, the actual amount that will be reclassified will vary based on changes in interest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Motor Fuel Sales and Real Estate Rentals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TopStar, an entity affiliated with the Topper Group, were $9.1 million and $8.8 million for the three months ended March 31, 2026 and 2025, respectively. Accounts receivable from TopStar was $0.8 million and $0.7 million at March 31, 2026 and December 31,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we purchased a property from TopStar for $0.2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certain real estate from the Topper Group. Rent expense under these lease agreements was $2.3 million and $2.5 million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Omnibus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expenses under the Omnibus Agreement, including costs for store level personnel at our company operated sites as well as other cost reimbursements, totaling $30.2 million and $31.8 million for the three months ended March 31, 2026 and 2025, respectively. Such expenses are included in operating expenses and general and administrative expenses in the statements of operations. Amounts payable to the Topper Group related to expenses incurred by the Topper Group on our behalf in accordance with the Omnibus Agreement totaled $5.0 million and $4.6 million at March 31, 2026 and December 31, 2025,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Unit Distributions and Other Equity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distributed $7.7 million to the Topper Group related to its ownership of our common units for the three months ended March 31, 2026 and 2025.</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distributed $2.6 million to affiliates of John B. Reilly, III, a member of our Board, related to their ownership of our common units for the three months ended March 31, 2026 and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accretion on the preferred membership interests issued in March 2022 to related parties of $0.7 million for each of the three months ended March 31, 2026 and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Maintenance and Environmental Costs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maintenance and environmental remediation activities are performed by an entity affiliated with the Topper Group, as approved by the independent conflicts committee of the Board. We incurred charges with this related party of $0.4 million and $0.7 million for the three months ended March 31, 2026 and 2025, respectively. Accounts payable to this related party amounted to $0.3 million at both March 31, 2026 and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Remediation Indemnification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an indemnification agreement, DMI reimburses us for certain environmental remediation costs incurred by the Partnership. We received $0.2 million and $0.1 million for the three months ended March 31, 2026 and 2025,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Convenience Store Products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certain convenience store products from an affiliate of John B. Reilly, III and Joseph V. Topper, Jr., members of the Board, as approved by the independent conflicts committee of the Board. Merchandise costs amounted to $4.5 million and $4.3 million for the three months ended March 31, 2026 and 2025, respectively. Amounts payable to this related party amounted to $1.9 million and $1.7 million at March 31, 2026 and December 31, 2025,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Vehicle Lease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services rendered under the Omnibus Agreement, we lease certain vehicles from an entity affiliated with the Topper Group, as approved by the independent conflicts committee of the Board. Lease expense was an insignificant amount for each of the three months ended March 31, 2026 and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Principal Executive Offices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from an affiliate of John B. Reilly, III and Joseph V. Topper, Jr., members of our Board, as approved by the independent conflicts committee of the Board. Rent expense amounted to $0.3 million for each of the three months ended March 31, 2026 and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 Relations and Website Consulting Services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engaged a company affiliated with John B. Reilly, III, member of the Board, for public relations and website consulting services. The cost of these services was insignificant for the three months ended March 31, 2026 and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minimum volume purchase requirements under certain of our fuel supply agreements with a purchase price at prevailing market rates for wholesale distribution. In the event we fail to purchase the required minimum volume for a given contract period, the underlying third party’s exclusive remedies (depending on the magnitude of the failure) are either termination of the supply agreement and/or a financial penalty per gallon based on the volume shortfall for the given period. We did not pay any significant penalties in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from time to time party to various lawsuits, claims and other legal proceedings that arise in the ordinary course of business. These actions typically seek, among other things, compensation for alleged personal injury, breach of contract, property damages, environmental damages, employment-related claims and damages, punitive damages, civil penalties or other losses, or injunctive or declaratory relief. With respect to all such lawsuits, claims and proceedings, we record an accrual when it is probable that a liability has been incurred and the amount of loss can be reasonably estimated. In addition, we disclose matters for which management believes a material loss is at least reasonably possible. We believe that it is not reasonably possible that these proceedings, separately or in the aggregate, will have a material adverse effect on our consolidated financial position, results of operations or cash flows. In all instances, management has assessed the matter based on current information and made a judgment concerning its potential outcome, giving due consideration to the nature of the claim, the amount and nature of damages sought and the probability of success. Management’s judgment may prove materially inaccurate, and such judgment is made subject to the known uncertainties of litigation.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own or lease sites where refined petroleum products are being or have been handled. These sites and the refined petroleum products handled thereon may be subject to federal and state environmental laws and regulations. Under such laws and regulations, we could be required to remove or remediate containerized hazardous liquids or associated generated wastes (including wastes disposed of or abandoned by prior owners or operators), to remediate contaminated property arising from the release of liquids or wastes into the environment, including contaminated groundwater, or to implement best management practices to prevent future contamination.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insurance of various types with varying levels of coverage that is considered adequate under the circumstances to cover operations and properties. The insurance policies are subject to deductibles that are considered reasonable and not excessive. In addition, we have generally entered into indemnification agreements with various sellers in conjunction with our past acquisitions, as further described below. Financial responsibility for environmental remediation is negotiated in connection with each acquisition transaction. In each case, an assessment is made of potential environmental liability exposure based on available information. Based on that assessment and relevant economic and risk factors, a determination is made whether to, and the extent to which we will, assume liability for existing environmental conditions.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liabilities recorded on the balance sheet within accrued expenses and other current liabilities and other long-term liabilities totaled $9.5 million and $9.7 million at March 31, 2026 and December 31, 2025, respectively. Indemnification assets related to state funds or insurance recorded on the balance sheet within other current and other noncurrent assets totaled $8.3 million at both March 31, 2026 and December 31, 2025. State funds represent probable state reimbursement amounts. Reimbursement will depend upon the continued maintenance and solvency of the state. Insurance coverage represents amounts deemed probable of reimbursement under insurance policies.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estimates used in these reserves are based on all known facts at the time and an assessment of the ultimate remedial action outcomes. We will adjust loss accruals as further information becomes available or circumstances change. Among the many uncertainties that impact the estimates are the necessary regulatory approvals for, and potential modifications of, remediation plans, the amount of data available upon initial assessment of the impact of soil or water contamination, changes in costs associated with environmental remediation services and equipment and the possibility of existing legal claims giving rise to additional claims.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Environmental liabilities related to the sites contributed to the Partnership in connection with our IPO have not been assigned to us and are still the responsibility of the Predecessor Entity. The Predecessor Entity indemnified us for any costs or expenses that we incur for environmental liabilities and third-party claims, regardless of when a claim is made, that are based on environmental conditions in existence prior to the closing of the IPO for contributed sites. As such, these environmental liabilities and indemnification assets are not recorded on the consolidated balance sheet of the Partnership.</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Similarly, we have generally been indemnified with respect to known contamination at sites acquired from third parties. As such, these environmental liabilities and indemnification assets are also not recorded on the consolidated balance sheet of the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and report certain financial and non-financial assets and liabilities on a fair value basis. Fair value is the price that would be received to sell an asset or paid to transfer a liability in an orderly transaction between market participants at the measurement date (exit price). U.S.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levels in 2026 or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further discussed in Note 7, we remeasure the fair value of interest rate swap contracts on a recurring basis each balance sheet date. We used an income approach to measure the fair value of these contracts, utilizing a forward yield curve for the same period as the future interest rate swap settlements. These fair value measurements are classified as Level 2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accrued for outstanding phantom units as a liability and adjust that liability on a recurring basis based on the market price of our common units each balance sheet date. These fair value measurements are deemed Level 1 measurements.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our accounts receivable, notes receivable, and accounts payable approximated their carrying values as of March 31, 2026 and December 31, 2025 due to the short-term maturity of these instruments. The fair value of borrowings under the Credit Facility approximated its carrying value as of March 31, 2026 and December 31, 2025 due to the frequency with which interest rates are reset and the consistency of the market spread.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limited partnership, we are not subject to federal and state income taxes. However, our corporate subsidiaries are subject to income taxes. Income tax attributable to our taxable income (including any dividend income from our corporate subsidiaries), which may differ significantly from income for financial statement purposes, is assessed at the individual limited partner unitholder level. We are subject to a statutory requirement that non-qualifying income, as defined by the Internal Revenue Code, cannot exceed 10% of total gross income for the calendar year. If non-qualifying income exceeds this statutory limit, we would be taxed as a corporation. The non-qualifying income did not exceed the statutory limit in any annual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activities that generate non-qualifying income are conducted through our wholly owned taxable corporate subsidiaries. Current and deferred income taxes are recognized on the earnings of these subsidiaries. Deferred income tax assets and liabilities are recognized for the future tax consequences attributable to temporary differences between the financial statement carrying amounts of existing assets and liabilities and their respective tax bases and are measured using enacted tax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income tax expense (benefit) of $2.5 million and $(3.6) million for the three months ended March 31, 2026 and 2025, respectively, as a result of the income generated (losses incurred) by our corporate subsidiaries. The effective tax rate differs from the combined federal and state statutory rate primarily because only our corporate subsidiaries are subject to income tax.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income taxes, net of refunds received, amounted to $0.2 million and $1.2 million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COMMON UNIT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and weighted-average units used in computing basic and diluted net income per common unit for the following periods (in thousands, except unit and per unit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distributions in excess of net income</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(27,761)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 (loss) - basic and diluted</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units outstanding - basic</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38,142,565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38,073,986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Adjustment for phantom and phantom performance units </w:t>
            </w:r>
            <w:r>
              <w:rPr>
                <w:rFonts w:ascii="Times New Roman" w:cs="Times New Roman" w:eastAsia="Times New Roman" w:hAnsi="Times New Roman"/>
                <w:sz w:val="24"/>
                <w:szCs w:val="24"/>
                <w:color w:val="auto"/>
                <w:vertAlign w:val="superscript"/>
              </w:rPr>
              <w:t>(a)</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units outstanding - diluted</w:t>
            </w:r>
          </w:p>
        </w:tc>
        <w:tc>
          <w:tcPr>
            <w:tcW w:w="10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38,301,882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38,073,986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unit - basic</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unit - diluted</w:t>
            </w:r>
          </w:p>
        </w:tc>
        <w:tc>
          <w:tcPr>
            <w:tcW w:w="136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197"/>
        </w:trPr>
        <w:tc>
          <w:tcPr>
            <w:tcW w:w="674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paid per common unit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 (with respect to each respective period) per common unit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6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-756920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-448310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-431165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1,299,880 potentially dilutive units related to the preferred membership interests were excluded from the calculation of diluted earnings per unit because including them would have been antidilutive.</w:t>
      </w:r>
    </w:p>
    <w:p>
      <w:pPr>
        <w:spacing w:after="0" w:line="54" w:lineRule="exact"/>
        <w:rPr>
          <w:sz w:val="20"/>
          <w:szCs w:val="20"/>
          <w:color w:val="auto"/>
        </w:rPr>
      </w:pPr>
    </w:p>
    <w:p>
      <w:pPr>
        <w:jc w:val="both"/>
        <w:ind w:left="1020" w:hanging="1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164,962 potentially dilutive units related to the phantom units and phantom performance units and 1,245,272 potentially dilutive units related to the preferred membership interests were excluded from the calculation of diluted earnings per unit because including them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activity for 2026 is as follows:</w:t>
      </w:r>
    </w:p>
    <w:tbl>
      <w:tblPr>
        <w:tblLayout w:type="fixed"/>
        <w:tblInd w:w="11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12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276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February 2, 2026</w:t>
            </w:r>
          </w:p>
        </w:tc>
        <w:tc>
          <w:tcPr>
            <w:tcW w:w="1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February 12, 2026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4, 2026</w:t>
            </w: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14,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any distribution is subject to the discretion of the Board, which may modify or revoke our cash distribution policy at any time. Our Partnership Agreement does not require us to pay any distributions. As such, there can be no assurance we will continue to pay distributions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 our business in two reportable segments: 1) the wholesale segment and 2) the retail segment.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wholesale segment includes the wholesale distribution of motor fuel to lessee dealers and independent dealers. We have exclusive motor fuel distribution contracts with lessee dealers who lease the property from us. We also have exclusive distribution contracts with independent dealers to distribute motor fuel but do not collect rent from the independent dealers.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retail segment includes the retail sale of motor fuel at retail sites operated by commission agents and the sale of convenience merchandise and the retail sale of motor fuel at company operated sites. A commission agent site is a retail site where we retain title to the motor fuel inventory and sell it directly to our end user customers. At commission agent retail sites, we manage motor fuel inventory pricing and retain the gross profit on motor fuel sales, less a commission to the agent who operates the retail site. Similar to our wholesale segment, we also generate revenues through leasing or subleasing real estate in our retail segment.</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items consist primarily of general and administrative expenses, depreciation, amortization and accretion expense, gains on dispositions and lease terminations, net, other income, interest expense and income tax expense. Total assets by segment are not presented as management does not currently assess performance or allocate resources based on that data.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converted 18 sites from lessee dealer sites in the wholesale segment to company operated or commission sites in the retail segment,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activity related to our reportable segments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w w:val="97"/>
              </w:rPr>
              <w:t>Unallocated</w:t>
            </w:r>
          </w:p>
        </w:tc>
        <w:tc>
          <w:tcPr>
            <w:tcW w:w="6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6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357,612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373,078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Rent income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74,303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labor</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from fuel sales to external customers</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365,761</w:t>
            </w:r>
          </w:p>
        </w:tc>
        <w:tc>
          <w:tcPr>
            <w:tcW w:w="3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384,521</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food and merchandise sales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 income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380,240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482,235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862,475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fuel</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349,997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353,341</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 food and merchandise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 - Rent expense</w:t>
            </w: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Store labor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Maintenance and environmental costs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items (a)</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-3942715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-3942715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-3942715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-3942715</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-2553970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-2553970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-2553970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-2553970</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-864870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-864870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-864870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Wholesale and Retail segments, other segment items includes real estate taxes, utilities, management fees, insurance and other operating expenses. For the Retail segment, other segment items also includes rent expense, store supplies and shrink. Other segment items that are not allocated to a segment include general and administrative expenses, depreciation, amortization and accretion expense and gains/losses on dispositions and lease terminations, net.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from operating income to income (loss) before income taxes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(10,750)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Receivables relating to the revenue streams above are as follows (in thousands):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5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fuel and merchandise sales</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for rent and other lease-related charges</w:t>
            </w: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-1182370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-1182370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obligations are satisfied as fuel is delivered to the customer and as merchandise is sold to the consumer. Many of our fuel contracts with our customers include minimum purchase volumes measured on a monthly basis, for which our performance obligations are satisfied as services are rendered. Receivables from fuel are recognized on a per-gallon rate and are generally collected within 10 days of delivery.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unamortized costs incurred to obtain certain contracts with customers was $9.7 million and $9.9 million at March 31, 2026 and December 31, 2025, respectively. Amortization of such costs is recorded against operating revenues and amounted to $0.5 million for both the three months ended March 31, 2026 and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from rent and other lease-related charges are generally collected at the beginning of the month.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SUPPLEMENTAL CASH FLOW INFORMATION</w:t>
      </w:r>
    </w:p>
    <w:p>
      <w:pPr>
        <w:spacing w:after="0" w:line="2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order to determine net cash provided by operating activities, net income is adjusted by, among other things, changes in operating assets and liabilities as follows (in thousands):</w:t>
      </w:r>
    </w:p>
    <w:tbl>
      <w:tblPr>
        <w:tblLayout w:type="fixed"/>
        <w:tblInd w:w="1140" w:type="dxa"/>
        <w:tblCellMar>
          <w:top w:w="0" w:type="dxa"/>
          <w:left w:w="0" w:type="dxa"/>
          <w:bottom w:w="0" w:type="dxa"/>
          <w:right w:w="0" w:type="dxa"/>
        </w:tblCellMar>
      </w:tblPr>
      <w:tr>
        <w:trPr>
          <w:trHeight w:val="156"/>
        </w:trPr>
        <w:tc>
          <w:tcPr>
            <w:tcW w:w="5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6"/>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(2,597)</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receivable from related parties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(2,368)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(2,115)</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Motor fuel and sales taxes payable</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80" w:type="dxa"/>
            <w:vAlign w:val="bottom"/>
            <w:shd w:val="clear" w:color="auto" w:fill="CFF0FC"/>
          </w:tcPr>
          <w:p>
            <w:pPr>
              <w:spacing w:after="0"/>
              <w:rPr>
                <w:sz w:val="19"/>
                <w:szCs w:val="19"/>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changes in operating assets and liabilities may differ from changes between amounts reflected in the applicable balance sheets for the respective periods due to acquisitions and non-cash activity.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680" w:type="dxa"/>
            <w:vAlign w:val="bottom"/>
          </w:tcPr>
          <w:p>
            <w:pPr>
              <w:spacing w:after="0"/>
              <w:rPr>
                <w:sz w:val="12"/>
                <w:szCs w:val="12"/>
                <w:color w:val="auto"/>
              </w:rPr>
            </w:pPr>
          </w:p>
        </w:tc>
        <w:tc>
          <w:tcPr>
            <w:tcW w:w="102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2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under operating leases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 under finance leases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56,288</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r>
      <w:tr>
        <w:trPr>
          <w:trHeight w:val="670"/>
        </w:trPr>
        <w:tc>
          <w:tcPr>
            <w:tcW w:w="76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right="118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CAUTIONARY STATEMENT REGARDING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Private Securities Litigation Reform Act of 1995 that involve risks and uncertainties. Forward-looking statements include the information concerning our possible or assumed future results of operations, business strategies, financing plans, competitive position, credit ratings, distribution growth, potential growth opportunities, potential operating performance improvements, potential improvements in return on capital employed, the effects of competition and the effects of future legislation or regulations. You can identify our forward-looking statements by the words “anticipate,” “estimate,” “believe,” “continue,” “could,” “intend,” “may,” “plan,” “potential,” “predict,” “seek,” “should,” “will,” “would,” “expect,” “objective,” “projection,” “forecast,” “guidance,” “outlook,” “effort,” “target” and similar expressions. Such statements are based on our current plans and expectations and involve risks and uncertainties that could potentially affect actual results. These forward-looking statements include, among other things, statements regarding:</w:t>
      </w:r>
    </w:p>
    <w:p>
      <w:pPr>
        <w:spacing w:after="0" w:line="8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retail and wholesale gross profits, including gasoline, diesel and convenience store merchandise gross profits;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level of capital investments, including through acquisitions, and the effect of these capital investments on our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the demand for, and volumes sold of, gasoline, diesel and convenience merchandise products in the regions where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equity and credit markets limiting access to capital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environmental, tax and other regulatory initiatives;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and other conditions on our business.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we based the forward-looking statements included in this report on our current expectations, estimates and projections about our company and the industry in which we operate. We caution you that these statements are not guarantees of future performance and involve risks and uncertainties we cannot predict. We anticipate that subsequent events and market developments will cause our estimates to change. In addition, we based many of these forward-looking statements on assumptions about future events that may prove to be inaccurate. Accordingly, our actual outcomes and results may differ materially from what we have expressed or forecasted in the forward-looking statements. Any differences could result from a variety of factors, including the following:</w:t>
      </w:r>
    </w:p>
    <w:p>
      <w:pPr>
        <w:spacing w:after="0" w:line="7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Topper Group’s business strategy and operations and the Topper Group’s conflicts of interest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cash flow to pay the current quarterly distributions on our common units;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competing motor fuel resources and convenience merchandise;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fuel price volatility, including as a result of the conflict in Ukraine or in the Middle East and geopolitical developments around Venezuela and Greenland;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demand for motor fuels;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policy, including the imposition of tariffs and the resulting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industries and geographical areas in which we operate;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financing, acquisition or disposition transactions and the effect thereof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remediation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or future indebtedness and the related interest expense and our ability to comply with debt covenants;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results of operations and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tax and other regulations or governmental policies;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legislation and changes in regulations, governmental policies, immigration laws and restrictions or changes in enforcement or interpretations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regulations and actions that could expand the non-exempt status of employees under the Fair Labor Standards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income tax legislation;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policy;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and political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and acts of terrorism;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or catastrophic weather-related damage;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and other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and risks associated with transporting and storing motor fuel;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environmental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or future litigation;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and state laws and regulations, including those related to environmental matters, the sale of alcohol, cigarettes and fresh foods, employment and health benefits and immigration.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consider the risks and uncertainties described above and elsewhere in this report as well as those set forth in the section entitled “Risk Factors” in our Form 10-K in connection with considering any forward-looking statements that may be made by us and our businesses generally. We cannot assure you that anticipated results or events reflected in the forward-looking statements will be achieved or will occur. The forward-looking statements included in this report are made as of the date of this report. We undertake no obligation to publicly release any revisions to any forward-looking statements, to report events or to report the occurrence of unanticipated events after the date of this report, except as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our results of operations and financial condition. This section is provided as a supplement to, and should be read in conjunction with, our consolidated financial statements and the accompanying notes to these financial statements contained elsewhere in this report, and the MD&amp;A section and the consolidated financial statements and accompanying notes to those financial statements in our Form 10-K. Our Form 10-K contains a discussion of other matters not included herein, such as disclosures regarding critical accounting policies and estimates and contractual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is organized as follows:</w:t>
      </w:r>
    </w:p>
    <w:p>
      <w:pPr>
        <w:spacing w:after="0" w:line="113"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Significant Factors Affecting Our Profitability</w:t>
      </w:r>
      <w:r>
        <w:rPr>
          <w:rFonts w:ascii="Times New Roman" w:cs="Times New Roman" w:eastAsia="Times New Roman" w:hAnsi="Times New Roman"/>
          <w:sz w:val="18"/>
          <w:szCs w:val="18"/>
          <w:color w:val="auto"/>
        </w:rPr>
        <w:t>—This section describes the most significant factors impacting our results of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Operations</w:t>
      </w:r>
      <w:r>
        <w:rPr>
          <w:rFonts w:ascii="Times New Roman" w:cs="Times New Roman" w:eastAsia="Times New Roman" w:hAnsi="Times New Roman"/>
          <w:sz w:val="18"/>
          <w:szCs w:val="18"/>
          <w:color w:val="auto"/>
        </w:rPr>
        <w:t>—This section provides an analysis of our results of operations on a consolidated basis and for each of our segments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a discussion of non-GAAP financial measures.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r>
        <w:rPr>
          <w:rFonts w:ascii="Times New Roman" w:cs="Times New Roman" w:eastAsia="Times New Roman" w:hAnsi="Times New Roman"/>
          <w:sz w:val="18"/>
          <w:szCs w:val="18"/>
          <w:color w:val="auto"/>
        </w:rPr>
        <w:t>—This section provides a discussion of our financial condition and cash flows. It also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our debt, capital requirements, other matters impacting our liquidity and capital resources and an outlook for our business.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Accounting Policies</w:t>
      </w:r>
      <w:r>
        <w:rPr>
          <w:rFonts w:ascii="Times New Roman" w:cs="Times New Roman" w:eastAsia="Times New Roman" w:hAnsi="Times New Roman"/>
          <w:sz w:val="18"/>
          <w:szCs w:val="18"/>
          <w:color w:val="auto"/>
        </w:rPr>
        <w:t>—This section describes new accounting pronouncements that we have already adopted, those that we are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adopt in the future and those that became applicable in the current year as a result of new circumstances.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Critical Accounting Policies and Estimates</w:t>
      </w:r>
      <w:r>
        <w:rPr>
          <w:rFonts w:ascii="Times New Roman" w:cs="Times New Roman" w:eastAsia="Times New Roman" w:hAnsi="Times New Roman"/>
          <w:sz w:val="18"/>
          <w:szCs w:val="18"/>
          <w:color w:val="auto"/>
        </w:rPr>
        <w:t>—This section describes the accounting policies and estimates that we consider most important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business and that require significant judgment.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Significant Factors Affecting our Profitability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Significance of Crude Oil and Wholesale Motor Fuel Prices on Our Revenues, Cost of Sales and 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For approximately 55% of gallons sold, we receive a per gallon rate equal to the posted rack price, less any applicable discounts, plus transportation costs, taxes and a fixed rate per gallon of motor fuel. The remaining gallons are either retail sales or wholesale DTW contracts that provide for variable, market-based pricing.</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Regarding our supplier relationships, a material amount of our total gallons purchased are subject to prompt payment discounts. The dollar value of these discounts varies with changes in motor fuel prices. Therefore, in periods of lower wholesale motor fuel prices, our gross profit is negatively affected, and, in periods of higher wholesale motor fuel prices, our gross profit is positively affected (as it relates to these discounts).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retail business, we attempt to pass along wholesale motor fuel price changes to our retail customers through “at the pump” retail price changes; however, market conditions do not always allow us to do so immediately. The timing of any related increase or decrease in “at the pump” retail prices is affected by competitive conditions in each geographic market in which we operate. As such, the prices we charge our customers for motor fuel and the gross profit we receive on our motor fuel sales can increase or decrease significantly over short periods of time. Further, we are assessed fees as a percentage of debit and credit card sales. Such fees increase as "at the pump" retail prices increase but without necessarily being accompanied by higher retail gross profits.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our average motor fuel selling price per gallon and gross margin are directly related to the changes in crude oil and wholesale motor fuel prices. Variations in our reported revenues and cost of sales are, therefore, primarily related to the price of crude oil and wholesale motor fuel prices and generally not as a result of changes in motor fuel sales volumes, unless otherwise indicated and discussed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Effects on Volumes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seasonality due to our wholesale and retail sites being located in certain geographic areas that are affected by seasonal weather and temperature trends and associated changes in retail customer activity during different seasons. Historically, sales volumes have been highest in the second and third quarters (during the summer months) and lowest during the winter months in the first and fourth quarters.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Inflation affects our financial performance by increasing certain components of cost of goods sold, such as fuel, merchandise, and credit card fees. Inflation also affects certain operating expenses, such as labor costs, certain leases, and general and administrative expenses. While our wholesale segment benefits from higher terms discounts as a result of higher fuel costs, inflation can negatively impact our cost of goods sold and operating expenses. Although we have historically been able to pass on increased costs through price increases, there can be no assurance that we will be able to do so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of Trade Conversions and Divestitures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the highest and best use class of trade for each of our properties, which results in the conversion of sites from one class of trade to another and ultimately increases or decreases in the gross profit and operating income for the wholesale and retail segments. See Note 13 to the financial statements for additional information.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evaluation of the highest and best use class of trade for each of our properties, we divest certain assets, often lower performing properties. These sales generate gains or impairment charges depending on the site; see Notes 2 and 4 to the financial statements for additional information. These sales result in reductions in gross profit and operating income in the wholesale and retail segments. For many of these divestitures, we continue to supply the sites with fuel through long-term supply contracts. When we sell a lessee dealer site with continued fuel supply, the site is converted from a lessee dealer site to an independent dealer site but remains in the wholesale segment. When we sell company operated or commission agent sites with continued fuel supply, the site is converted from being operated in our retail segment to being operated as an independent dealer site in our wholesale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Income Statement Analysis</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Below is an analysis of our consolidated statements of operations and provides the primary reasons for significant increases and decreases in the various income statement line items from period to period. Our consolidated statements of operations are as follows (in thousands):</w:t>
      </w:r>
    </w:p>
    <w:tbl>
      <w:tblPr>
        <w:tblLayout w:type="fixed"/>
        <w:tblInd w:w="17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6"/>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841,830</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79,989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dispositions and lease terminations,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(10,750)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preferred membership interests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available to limited partners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-736600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-454025</wp:posOffset>
            </wp:positionV>
            <wp:extent cx="43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43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decreased $20.6 million (2%) and operating income increased $21.7 million. Significant items impacting these results were: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revenues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fuel sales decreased $19.6 million (3%) due primarily to a 6% decrease in volume due to the net loss of independent dealer contracts and a reduction in volume in our base business. Rent income decreased $2.6 million (15%) due to the sale of certain lessee dealer sites in connection with our real estate optimization effort as well as the conversion of certain lessee dealer sites to company operated and commission agent sites. These decreases were partially offset by a $1.3 million (1%) increase in merchandise revenues driven by an increase in sales in our base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decreased $28.5 million (4%), due primarily to lower volume, driven by the same drivers as discussed above.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$7.8 million (9%) due primarily to an increase in motor fuel and merchandise gross profit in our retail segment, partially offset by a decrease in motor fuel and rent gross profit in our wholesale segment. See “Results of Operations—Segment Results” for additional gross profit analyses.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Operations—Segment Results” for analyses.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decreased $1.2 million (15%) primarily driven by lower legal fees and equity compensation expense.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Depreciation, amortization and accretion expense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amortization and accretion expense decreased $9.2 million (35%) primarily due to a $7.3 million decrease in impairment charges in comparison to prior year, as well as the impact of our site sales.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dispositions and lease terminations, net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recorded $6.3 million in net gains in connection with our ongoing real estate rationalization effort, partially offset by $0.2 million of net losses on lease terminations and asset disposals.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recorded $5.6 million in net gains in connection with our ongoing real estate rationalization effort, partially offset by $0.6 million of net losses on lease terminations and asset disposals.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decreased $2.1 million (16%) due to a lower average outstanding debt balance resulting from applying the proceeds from site sales to our Credit Facility as well as a lower average SOFR rate. These decreases were partially offset by a $0.2 million increase in interest expense on our finance lease obligations as a result of the reassessment of the accounting for our lease with Getty required by the amendment of this lease during the first quarter of 2026. See Note 6 to the financial statements for additional information.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 expense (benefit)</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income tax expense (benefit) of $2.5 million and ($3.6) million for the three months ended March 31, 2026 and 2025, respectively, driven by income generated (losses incurred) by our taxable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the results of operations of our segments consistent with how our management views the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following table highlights the results of operations and certain operating metrics of our retail segment. The narrative following these tables provides an analysis of the results of operations of that segment (in thousands, except for the number of retail sites and per gallon amounts):</w:t>
      </w:r>
    </w:p>
    <w:tbl>
      <w:tblPr>
        <w:tblLayout w:type="fixed"/>
        <w:tblInd w:w="0" w:type="dxa"/>
        <w:tblCellMar>
          <w:top w:w="0" w:type="dxa"/>
          <w:left w:w="0" w:type="dxa"/>
          <w:bottom w:w="0" w:type="dxa"/>
          <w:right w:w="0" w:type="dxa"/>
        </w:tblCellMar>
      </w:tblPr>
      <w:tr>
        <w:trPr>
          <w:trHeight w:val="156"/>
        </w:trPr>
        <w:tc>
          <w:tcPr>
            <w:tcW w:w="762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3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76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Motor fuel</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39,860</w:t>
            </w:r>
          </w:p>
        </w:tc>
        <w:tc>
          <w:tcPr>
            <w:tcW w:w="360" w:type="dxa"/>
            <w:vAlign w:val="bottom"/>
          </w:tcPr>
          <w:p>
            <w:pPr>
              <w:spacing w:after="0"/>
              <w:rPr>
                <w:sz w:val="18"/>
                <w:szCs w:val="18"/>
                <w:color w:val="auto"/>
              </w:rPr>
            </w:pP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31,180</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Merchandise</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26,952</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3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74,303</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63,159</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(49,999)</w:t>
            </w: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(51,704)</w:t>
            </w:r>
          </w:p>
        </w:tc>
      </w:tr>
      <w:tr>
        <w:trPr>
          <w:trHeight w:val="209"/>
        </w:trPr>
        <w:tc>
          <w:tcPr>
            <w:tcW w:w="76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24,304</w:t>
            </w:r>
          </w:p>
        </w:tc>
        <w:tc>
          <w:tcPr>
            <w:tcW w:w="36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80" w:type="dxa"/>
            <w:vAlign w:val="bottom"/>
            <w:tcBorders>
              <w:top w:val="single" w:sz="8" w:color="CFF0FC"/>
            </w:tcBorders>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76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sites (end of period):</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Company operated retail sites </w:t>
            </w:r>
            <w:r>
              <w:rPr>
                <w:rFonts w:ascii="Times New Roman" w:cs="Times New Roman" w:eastAsia="Times New Roman" w:hAnsi="Times New Roman"/>
                <w:sz w:val="24"/>
                <w:szCs w:val="24"/>
                <w:color w:val="auto"/>
                <w:vertAlign w:val="superscript"/>
              </w:rPr>
              <w:t>(a)</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Commission agents </w:t>
            </w:r>
            <w:r>
              <w:rPr>
                <w:rFonts w:ascii="Times New Roman" w:cs="Times New Roman" w:eastAsia="Times New Roman" w:hAnsi="Times New Roman"/>
                <w:sz w:val="24"/>
                <w:szCs w:val="24"/>
                <w:color w:val="auto"/>
                <w:vertAlign w:val="superscript"/>
              </w:rPr>
              <w:t>(b)</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r>
      <w:tr>
        <w:trPr>
          <w:trHeight w:val="25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retail sites</w:t>
            </w: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7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retail segment statistics: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Volume of gallons sold</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117,686</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126,532</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Margin per gallon, before deducting credit card fees and commissions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0.437</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operated site statistics: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Margin per gallon, before deducting credit card fees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0.458</w:t>
            </w:r>
          </w:p>
        </w:tc>
        <w:tc>
          <w:tcPr>
            <w:tcW w:w="360" w:type="dxa"/>
            <w:vAlign w:val="bottom"/>
          </w:tcPr>
          <w:p>
            <w:pPr>
              <w:spacing w:after="0"/>
              <w:rPr>
                <w:sz w:val="18"/>
                <w:szCs w:val="18"/>
                <w:color w:val="auto"/>
              </w:rPr>
            </w:pP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0.374</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Merchandise gross profit percentage</w:t>
            </w:r>
          </w:p>
        </w:tc>
        <w:tc>
          <w:tcPr>
            <w:tcW w:w="9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9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Commission site statistics: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Average retail fuel sites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Margin per gallon, before deducting credit card fees and commissions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0.385</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-3093720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-3093720</wp:posOffset>
            </wp:positionV>
            <wp:extent cx="1117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-2811145</wp:posOffset>
            </wp:positionV>
            <wp:extent cx="1111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-2811145</wp:posOffset>
            </wp:positionV>
            <wp:extent cx="1117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-1945005</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-1928495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-1945005</wp:posOffset>
            </wp:positionV>
            <wp:extent cx="1117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-1928495</wp:posOffset>
            </wp:positionV>
            <wp:extent cx="111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52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company operated site count was primarily attributable to the sale of certain company operated sites in connection with our real estate rationalization effort, partially offset by the conversion of certain lessee dealer sites to company operated sites.</w:t>
      </w:r>
    </w:p>
    <w:p>
      <w:pPr>
        <w:ind w:left="520" w:hanging="512"/>
        <w:spacing w:after="0" w:line="26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commission agent site count was primarily attributable to the sale of certain commission agent sites in connection with our real estate rationalization effort, partially offset by the conversion of certain lessee dealer sites to commission agent sites.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$11.1 million (18%) and operating income increased $12.8 million (112%).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17" w:lineRule="exact"/>
        <w:rPr>
          <w:sz w:val="20"/>
          <w:szCs w:val="20"/>
          <w:color w:val="auto"/>
        </w:rPr>
      </w:pPr>
    </w:p>
    <w:p>
      <w:pPr>
        <w:jc w:val="both"/>
        <w:ind w:left="760" w:hanging="378"/>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motor fuel gross profit increased $8.7 million (28%), attributable to a 29% increase in our margin per gallon for the three months ended March 31, 2026 as compared to the same period in 2025 due to greater volatility in the price of crude oil for the three months ended March 31, 2026 as compared to the same period of 2025. This increase was partially offset by a volume decrease of 7% due primarily to a 4% decrease in our average retail site count due to the sale of certain company operated sites in connection with our real estate optimization effort as well as a decrease in volume in our base business.</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gross profit increased $2.0 million (8%) due primarily to an increase in sales in our base business as well as an increase in our merchandise gross profit percentage. These increases were partially offset by a 6% reduction in our average company operated site count due primarily to the sale of certain company operated sites in connection with our real estate optimization effort.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$1.7 million (3%) driven by a 4% decrease in the average retail site count due to the sale of certain company operated and commission agent sites in connection with our real estate optimization effort, partially offset by the conversion of certain lessee dealer sites to company operated and commission agent sites.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highlights the results of operations and certain operating metrics of our wholesale segment. The narrative following these tables provides an analysis of the results of operations of that segment (in thousands of dollars, except for the number of distribution sites and per gallon amounts):</w:t>
      </w:r>
    </w:p>
    <w:tbl>
      <w:tblPr>
        <w:tblLayout w:type="fixed"/>
        <w:tblInd w:w="0" w:type="dxa"/>
        <w:tblCellMar>
          <w:top w:w="0" w:type="dxa"/>
          <w:left w:w="0" w:type="dxa"/>
          <w:bottom w:w="0" w:type="dxa"/>
          <w:right w:w="0" w:type="dxa"/>
        </w:tblCellMar>
      </w:tblPr>
      <w:tr>
        <w:trPr>
          <w:trHeight w:val="158"/>
        </w:trPr>
        <w:tc>
          <w:tcPr>
            <w:tcW w:w="56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80" w:type="dxa"/>
            <w:vAlign w:val="bottom"/>
            <w:tcBorders>
              <w:bottom w:val="single" w:sz="8" w:color="auto"/>
            </w:tcBorders>
            <w:gridSpan w:val="5"/>
          </w:tcPr>
          <w:p>
            <w:pPr>
              <w:jc w:val="right"/>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Motor fuel gross profit</w:t>
            </w:r>
          </w:p>
        </w:tc>
        <w:tc>
          <w:tcPr>
            <w:tcW w:w="302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 gross profit</w:t>
            </w: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gross profit</w:t>
            </w: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(7,170)</w:t>
            </w: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w:t>
            </w:r>
          </w:p>
        </w:tc>
        <w:tc>
          <w:tcPr>
            <w:tcW w:w="100" w:type="dxa"/>
            <w:vAlign w:val="bottom"/>
            <w:shd w:val="clear" w:color="auto" w:fill="CFF0FC"/>
          </w:tcPr>
          <w:p>
            <w:pPr>
              <w:spacing w:after="0"/>
              <w:rPr>
                <w:sz w:val="21"/>
                <w:szCs w:val="21"/>
                <w:color w:val="auto"/>
              </w:rPr>
            </w:pPr>
          </w:p>
        </w:tc>
      </w:tr>
      <w:tr>
        <w:trPr>
          <w:trHeight w:val="197"/>
        </w:trPr>
        <w:tc>
          <w:tcPr>
            <w:tcW w:w="5660" w:type="dxa"/>
            <w:vAlign w:val="bottom"/>
            <w:tcBorders>
              <w:top w:val="single" w:sz="8" w:color="CFF0FC"/>
            </w:tcBorders>
          </w:tcPr>
          <w:p>
            <w:pPr>
              <w:spacing w:after="0"/>
              <w:rPr>
                <w:sz w:val="17"/>
                <w:szCs w:val="17"/>
                <w:color w:val="auto"/>
              </w:rPr>
            </w:pPr>
          </w:p>
        </w:tc>
        <w:tc>
          <w:tcPr>
            <w:tcW w:w="20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Motor fuel distribution sites (end of period): </w:t>
            </w:r>
            <w:r>
              <w:rPr>
                <w:rFonts w:ascii="Times New Roman" w:cs="Times New Roman" w:eastAsia="Times New Roman" w:hAnsi="Times New Roman"/>
                <w:sz w:val="24"/>
                <w:szCs w:val="24"/>
                <w:color w:val="auto"/>
                <w:vertAlign w:val="superscript"/>
              </w:rPr>
              <w:t>(a)</w:t>
            </w: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Independent dealers </w:t>
            </w:r>
            <w:r>
              <w:rPr>
                <w:rFonts w:ascii="Times New Roman" w:cs="Times New Roman" w:eastAsia="Times New Roman" w:hAnsi="Times New Roman"/>
                <w:sz w:val="24"/>
                <w:szCs w:val="24"/>
                <w:color w:val="auto"/>
                <w:vertAlign w:val="superscript"/>
              </w:rPr>
              <w:t>(b)</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Lessee dealers </w:t>
            </w:r>
            <w:r>
              <w:rPr>
                <w:rFonts w:ascii="Times New Roman" w:cs="Times New Roman" w:eastAsia="Times New Roman" w:hAnsi="Times New Roman"/>
                <w:sz w:val="24"/>
                <w:szCs w:val="24"/>
                <w:color w:val="auto"/>
                <w:vertAlign w:val="superscript"/>
              </w:rPr>
              <w:t>(c)</w:t>
            </w:r>
          </w:p>
        </w:tc>
        <w:tc>
          <w:tcPr>
            <w:tcW w:w="20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motor fuel distribution sites</w:t>
            </w:r>
          </w:p>
        </w:tc>
        <w:tc>
          <w:tcPr>
            <w:tcW w:w="2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motor fuel distribution sites</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Volume of gallons distributed</w:t>
            </w:r>
          </w:p>
        </w:tc>
        <w:tc>
          <w:tcPr>
            <w:tcW w:w="2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162,918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per gallon</w:t>
            </w:r>
          </w:p>
        </w:tc>
        <w:tc>
          <w:tcPr>
            <w:tcW w:w="302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0.094</w:t>
            </w:r>
          </w:p>
        </w:tc>
        <w:tc>
          <w:tcPr>
            <w:tcW w:w="160" w:type="dxa"/>
            <w:vAlign w:val="bottom"/>
          </w:tcPr>
          <w:p>
            <w:pPr>
              <w:spacing w:after="0"/>
              <w:rPr>
                <w:sz w:val="20"/>
                <w:szCs w:val="20"/>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-1582420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-1565275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-1582420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-1565275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-1007745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distributed motor fuel to sub-wholesalers who distributed to additional sites.</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independent dealer site count was primarily attributable to the sale of certain lessee dealer, company operated and commission agent sites but with continued fuel supply, partially offset by the net loss of independent dealer contracts.</w:t>
      </w:r>
    </w:p>
    <w:p>
      <w:pPr>
        <w:jc w:val="both"/>
        <w:ind w:left="520" w:hanging="512"/>
        <w:spacing w:after="0" w:line="25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lessee dealer site count was primarily attributable to the sale of certain lessee dealer sites in connection with our real estate rationalization effort (generally with continued fuel supply, thereby converting the site to an independent dealer site) as well as the conversion of certain lessee dealer sites to company operated and commission agent sites.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decreased $3.3 million (13%) and operating income decreased $2.6 million (13%). These results were impacted by: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Motor fuel gross profit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$1.3 million decrease (8%) in motor fuel gross profit was primarily due to a 6% decrease in volume driven by the net loss of independent dealer contracts as well as the conversion of certain lessee dealer sites to company operated sites and commission agent sites.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 gross profit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gross profit decreased $1.9 million (20%) for the first quarter of 2026 compared to the same period of 2025, primarily due to the sale of certain lessee dealer sites in connection with our real estate rationalization effort as well as the conversion of certain lessee dealer sites to company operated and commission agent sites.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decreased $0.7 million (10%), primarily due to the sale of certain lessee dealer sites in connection with our real estate rationalization effort as well as the conversion of certain lessee dealer sites to company operated and commission agent sites.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Adjusted EBITDA, Distributable Cash Flow and Distribution Coverage Ratio are used as supplemental financial measures by management and by external users of our financial statements, such as investors and lenders. EBITDA and Adjusted EBITDA are used to assess our financial performance without regard to financing methods, capital structure or income taxes and the ability to incur and service debt and to fund capital expenditures. In addition, Adjusted EBITDA is used to assess the operating performance of our business on a consistent basis by excluding the impact of items which do not result directly from the wholesale distribution of motor fuel, the leasing of real property, or the day to day operations of our retail site activities. EBITDA, Adjusted EBITDA, Distributable Cash Flow and Distribution Coverage Ratio are also used to assess the ability to generate cash sufficient to make distributions to our unitholders.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our industry, our definitions may not be comparable to similarly titled measures of other companies, thereby diminishing their utility.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right="20"/>
        <w:spacing w:after="0" w:line="257" w:lineRule="auto"/>
        <w:rPr>
          <w:sz w:val="20"/>
          <w:szCs w:val="20"/>
          <w:color w:val="auto"/>
        </w:rPr>
      </w:pPr>
      <w:r>
        <w:rPr>
          <w:rFonts w:ascii="Times New Roman" w:cs="Times New Roman" w:eastAsia="Times New Roman" w:hAnsi="Times New Roman"/>
          <w:sz w:val="18"/>
          <w:szCs w:val="18"/>
          <w:color w:val="auto"/>
        </w:rPr>
        <w:t>The following table presents reconciliations of EBITDA, Adjusted EBITDA, and Distributable Cash Flow to net income (loss), the most directly comparable U.S. GAAP financial measure, for each of the periods indicated (in thousands, except for Distribution Coverage Ratio):</w:t>
      </w:r>
    </w:p>
    <w:tbl>
      <w:tblPr>
        <w:tblLayout w:type="fixed"/>
        <w:tblInd w:w="0" w:type="dxa"/>
        <w:tblCellMar>
          <w:top w:w="0" w:type="dxa"/>
          <w:left w:w="0" w:type="dxa"/>
          <w:bottom w:w="0" w:type="dxa"/>
          <w:right w:w="0" w:type="dxa"/>
        </w:tblCellMar>
      </w:tblPr>
      <w:tr>
        <w:trPr>
          <w:trHeight w:val="156"/>
        </w:trPr>
        <w:tc>
          <w:tcPr>
            <w:tcW w:w="6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780" w:type="dxa"/>
            <w:vAlign w:val="bottom"/>
            <w:tcBorders>
              <w:bottom w:val="single" w:sz="8" w:color="auto"/>
            </w:tcBorders>
            <w:gridSpan w:val="5"/>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2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(3,598)</w:t>
            </w: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1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w:t>
            </w:r>
          </w:p>
        </w:tc>
        <w:tc>
          <w:tcPr>
            <w:tcW w:w="100" w:type="dxa"/>
            <w:vAlign w:val="bottom"/>
          </w:tcPr>
          <w:p>
            <w:pPr>
              <w:spacing w:after="0"/>
              <w:rPr>
                <w:sz w:val="18"/>
                <w:szCs w:val="18"/>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employee and director compensation expense</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Gain on dispositions and lease terminations, net </w:t>
            </w:r>
            <w:r>
              <w:rPr>
                <w:rFonts w:ascii="Times New Roman" w:cs="Times New Roman" w:eastAsia="Times New Roman" w:hAnsi="Times New Roman"/>
                <w:sz w:val="24"/>
                <w:szCs w:val="24"/>
                <w:color w:val="auto"/>
                <w:vertAlign w:val="superscript"/>
              </w:rPr>
              <w:t>(a)</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(6,116)</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(5,037)</w:t>
            </w:r>
          </w:p>
        </w:tc>
      </w:tr>
      <w:tr>
        <w:trPr>
          <w:trHeight w:val="216"/>
        </w:trPr>
        <w:tc>
          <w:tcPr>
            <w:tcW w:w="60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4"/>
                <w:szCs w:val="24"/>
                <w:color w:val="auto"/>
                <w:vertAlign w:val="superscript"/>
              </w:rPr>
              <w:t>(b)</w:t>
            </w:r>
          </w:p>
        </w:tc>
        <w:tc>
          <w:tcPr>
            <w:tcW w:w="1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interest expense</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(12,359)</w:t>
            </w:r>
          </w:p>
        </w:tc>
      </w:tr>
      <w:tr>
        <w:trPr>
          <w:trHeight w:val="216"/>
        </w:trPr>
        <w:tc>
          <w:tcPr>
            <w:tcW w:w="60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Sustaining capital expenditures </w:t>
            </w:r>
            <w:r>
              <w:rPr>
                <w:rFonts w:ascii="Times New Roman" w:cs="Times New Roman" w:eastAsia="Times New Roman" w:hAnsi="Times New Roman"/>
                <w:sz w:val="24"/>
                <w:szCs w:val="24"/>
                <w:color w:val="auto"/>
                <w:vertAlign w:val="superscript"/>
              </w:rPr>
              <w:t>(c)</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(2,721)</w:t>
            </w:r>
          </w:p>
        </w:tc>
      </w:tr>
      <w:tr>
        <w:trPr>
          <w:trHeight w:val="216"/>
        </w:trPr>
        <w:tc>
          <w:tcPr>
            <w:tcW w:w="60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Current income tax expense </w:t>
            </w:r>
            <w:r>
              <w:rPr>
                <w:rFonts w:ascii="Times New Roman" w:cs="Times New Roman" w:eastAsia="Times New Roman" w:hAnsi="Times New Roman"/>
                <w:sz w:val="24"/>
                <w:szCs w:val="24"/>
                <w:color w:val="auto"/>
                <w:vertAlign w:val="superscript"/>
              </w:rPr>
              <w:t>(d)</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6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Distributable Cash Flow</w:t>
            </w:r>
          </w:p>
        </w:tc>
        <w:tc>
          <w:tcPr>
            <w:tcW w:w="16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paid on common units</w:t>
            </w:r>
          </w:p>
        </w:tc>
        <w:tc>
          <w:tcPr>
            <w:tcW w:w="16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00" w:type="dxa"/>
            <w:vAlign w:val="bottom"/>
          </w:tcPr>
          <w:p>
            <w:pPr>
              <w:spacing w:after="0"/>
              <w:rPr>
                <w:sz w:val="18"/>
                <w:szCs w:val="18"/>
                <w:color w:val="auto"/>
              </w:rPr>
            </w:pPr>
          </w:p>
        </w:tc>
      </w:tr>
      <w:tr>
        <w:trPr>
          <w:trHeight w:val="249"/>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Distribution Coverage Ratio</w:t>
            </w:r>
          </w:p>
        </w:tc>
        <w:tc>
          <w:tcPr>
            <w:tcW w:w="16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1.07x</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0.46x</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"Results of Operations–Gain on dispositions and Lease Terminations, net."</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certain acquisition-related costs, such as legal and other professional fees, separation benefit costs and purchase accounting adjustments associated with recent acquisitions.</w:t>
      </w:r>
    </w:p>
    <w:p>
      <w:pPr>
        <w:jc w:val="both"/>
        <w:ind w:left="520" w:hanging="512"/>
        <w:spacing w:after="0" w:line="250"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Partnership Agreement, sustaining capital expenditures are capital expenditures made to maintain our long-term operating income or operating capacity. Examples of sustaining capital expenditures are those made to maintain existing contract volumes or to maintain our sites in conditions suitable to operate or lease, such as parking lot or roof replacement/renovation, or to replace equipment required to operate the existing business.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$0.5 million of current income tax incurred on sales of sites for the first quarter of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liquidity requirements are to finance our operations, fund acquisitions, service our debt and pay distributions to our unitholders. We expect our ongoing sources of liquidity to include cash generated by operations, proceeds from sales of sites in connection with our real estate rationalization efforts, borrowings under the Credit Facility, and if available to us on acceptable terms, issuances of equity and debt securities. We regularly evaluate alternate sources of capital to support our liquidity requirements.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meet our debt service obligations and other capital requirements, including capital expenditures, acquisitions, distributions on the preferred membership interests and partnership distributions, will depend on our future operating performance, which, in turn, will be subject to general economic, financial, business, competitive, legislative, regulatory and other conditions, many of which are beyond our control. As a normal part of our business, depending on market conditions, we will, from time to time, consider opportunities to repay, redeem, repurchase or refinance our indebtedness. Changes in our operating plans, lower than anticipated sales, increased expenses, acquisitions or other events may cause us to seek additional debt or equity financing in future periods.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will have sufficient cash flow from operations, borrowing capacity under the Credit Facility, access to capital markets and alternate sources of funding to meet our financial commitments, debt service obligations, contingencies, anticipated capital expenditures, distributions on the preferred membership interests and partnership distributions. However, we are subject to business and operational risks that could adversely affect our cash flow. A material decrease in our cash flows would likely produce an adverse effect on our borrowing capacity as well as our ability to issue additional equity and/or debt securities and/or maintain or increase distributions to unitholders.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activity (in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27,877</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(31,508)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$13 million for the three months ended March 31, 2026 compared to the same period in 2025, primarily due to stronger operating results in 2026 and a decrease in interest expense driven by a lower average outstanding debt balance as well as a lower average SOFR rate.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is typical in our industry, our current liabilities exceed our current assets as a result of the longer settlement of real estate and motor fuel taxes as compared to the shorter settlement of receivables for fuel, rent and merchandise.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capital expenditures of $3 million and $10 million for the three months ended March 31, 2026 and 2025, respectively. We received $13 million and $9 million in proceeds primarily from the sale of sites in connection with our real estate rationalization effort for the three months ended March 31, 2026 and 2025, respectively. We also paid $1.8 million as a final payment in connection with a prior-year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$20 million in distributions for each of the three months ended March 31, 2026 and 2025. For the three months ended March 31, 2026 and 2025, we made total net (repayments) borrowings on the Credit Facility of ($10) million and $11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Common Unitholders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activity for 2026 was as follows:</w:t>
      </w:r>
    </w:p>
    <w:tbl>
      <w:tblPr>
        <w:tblLayout w:type="fixed"/>
        <w:tblInd w:w="8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80" w:type="dxa"/>
            <w:vAlign w:val="bottom"/>
          </w:tcPr>
          <w:p>
            <w:pPr>
              <w:spacing w:after="0"/>
              <w:rPr>
                <w:sz w:val="13"/>
                <w:szCs w:val="13"/>
                <w:color w:val="auto"/>
              </w:rPr>
            </w:pPr>
          </w:p>
        </w:tc>
        <w:tc>
          <w:tcPr>
            <w:tcW w:w="13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292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8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February 2, 2026</w:t>
            </w:r>
          </w:p>
        </w:tc>
        <w:tc>
          <w:tcPr>
            <w:tcW w:w="1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February 12, 2026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4, 2026</w:t>
            </w: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14, 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0.5250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amount of any distribution is subject to the discretion of the Board, which may modify or revoke our cash distribution policy at any time. Our Partnership Agreement does not require us to pay any distributions. As such, there can be no assurance we will continue to pay distributions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Preferred Membership Interests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on the preferred membership interests are payable in cash quarterly starting in the fourth quarter of 2026. See Note 18 to the financial statements included in our Form 10-K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our debt and finance lease obligations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3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3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741,823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portion</w:t>
            </w:r>
          </w:p>
        </w:tc>
        <w:tc>
          <w:tcPr>
            <w:tcW w:w="3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732,012</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3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portion, net of deferred financing costs</w:t>
            </w:r>
          </w:p>
        </w:tc>
        <w:tc>
          <w:tcPr>
            <w:tcW w:w="3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726,197</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4100" w:type="dxa"/>
            <w:vAlign w:val="bottom"/>
            <w:tcBorders>
              <w:top w:val="single" w:sz="8" w:color="CFF0FC"/>
            </w:tcBorders>
          </w:tcPr>
          <w:p>
            <w:pPr>
              <w:spacing w:after="0"/>
              <w:rPr>
                <w:sz w:val="24"/>
                <w:szCs w:val="24"/>
                <w:color w:val="auto"/>
              </w:rPr>
            </w:pPr>
          </w:p>
        </w:tc>
        <w:tc>
          <w:tcPr>
            <w:tcW w:w="3280" w:type="dxa"/>
            <w:vAlign w:val="bottom"/>
            <w:tcBorders>
              <w:top w:val="single" w:sz="8" w:color="CFF0FC"/>
            </w:tcBorders>
          </w:tcPr>
          <w:p>
            <w:pPr>
              <w:jc w:val="right"/>
              <w:ind w:right="271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Taking the interest rate swap contracts into account, the effective interest rate on our Credit Facility at March 31, 2026 was 5.6% (our applicable margin was 2.00% as of March 31, 2026). Letters of credit outstanding at March 31, 2026 totaled $4.9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availability under our Credit Facility at May 1, 2026, after taking into consideration debt covenant restrictions, was $230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information on an amendment of our lease with Getty.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investments to expand, upgrade and enhance existing assets. We categorize our capital requirements as either sustaining capital expenditures, growth capital expenditures or acquisition capital expenditures. Sustaining capital expenditures are those capital expenditures required to maintain our long-term operating income or operating capacity. Growth capital expenditures, which include individual site purchases, and acquisition capital expenditures are those capital expenditures that we expect will increase our operating income or operating capacity over the long term. We have the ability to fund our capital expenditures by additional borrowings under our Credit Facility, or, if available to us on acceptable terms, accessing the capital markets and issuing additional equity, debt securities or other options, such as the sale of assets. Our ability to access the capital markets may have an impact on our ability to fund acquisitions. We may not be able to complete any offering of securities or other options on terms acceptable to us, if at 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our capital expenditures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2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Sustaining capital</w:t>
            </w:r>
          </w:p>
        </w:tc>
        <w:tc>
          <w:tcPr>
            <w:tcW w:w="388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c>
          <w:tcPr>
            <w:tcW w:w="28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tcPr>
          <w:p>
            <w:pPr>
              <w:spacing w:after="0"/>
              <w:rPr>
                <w:sz w:val="18"/>
                <w:szCs w:val="18"/>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our growth capital expenditures are discretionary and we regularly review our capital plans in light of anticipated proceeds from sales of sites.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for information on our concentration risks related to our fuel suppliers, fuel carriers and merchandise suppliers.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previously, the prices paid to our motor fuel suppliers for wholesale motor fuel (which affects our cost of sales) are highly correlated to the price of crude oil. The crude oil commodity markets are highly volatile, and the market prices of crude oil, and, correspondingly, the market prices of wholesale motor fuel, experience significant and rapid fluctuations, which affect our motor fuel gross profit.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2026 are anticipated to be impacted by the following:</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consider the highest and best use class of trade for each of our properties, which may result in the conversion of sites from one class of trade to another and ultimately increases or decreases in the gross profit and operating income for the wholesale and retail segments. Conversions of lessee dealer sites to company operated and commission agent sites are anticipated to increase gross profit and operating expenses in the retail segment and reduce gross profit in the wholesale segment.</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evaluation of the highest and best use class of trade for each of our properties, we anticipate continuing to divest certain assets, often lower performing properties. These sales are likely to continue to generate gains or impairment charges depending on the site, and may result in reductions in gross profit and operating income in the wholesale and retail segments. For many of these divestitures, we anticipate continuing to supply the sites with fuel through long-term supply contracts. Further, due to using the proceeds of these sales to pay down borrowings on our Credit Facility, we anticipate a decrease in our interest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evaluate acquisitions on an opportunistic basis. Additionally, we will pursue acquisition targets that fit into our strategy. Whether we will be able to execute acquisitions will depend on market conditions, availability of suitable acquisition targets at attractive terms, acquisition-related compliance with customary regulatory requirements, and our ability to finance such acquisitions on favorable terms and in compliance with our debt covenant restrictions.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new accounting guidance effective or pending adoption that has had or is anticipated to have a material impact on our financial statements. See Note 1 to the financial statements for information on new accounting guidance that will impact future disclosures.</w:t>
      </w:r>
    </w:p>
    <w:p>
      <w:pPr>
        <w:spacing w:after="0" w:line="26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described in our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significant changes to our market risk have occurred since December 31, 2025. For a discussion of market risks affecting us, refer to Part II, Item 7A —"Quantitative and Qualitative Disclosures About Market Risk” included in our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 13a-15(e) under the Exchange Act) as of the end of the period covered by this report. Based on this evaluation, our Chief Executive Officer and Chief Financial Officer concluded that our disclosure controls and procedures were effective as of March 31,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 13a-15(f) under the Exchange Act) that occurred during the three months ended March 31, 2026,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Item our disclosures made in Part I, Item 1 of this report included in Note 9 of the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risk factors disclosed in the section entitled "Risk Factors" in our Form 10-K during the period covered by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24"/>
                <w:szCs w:val="24"/>
                <w:color w:val="auto"/>
              </w:rPr>
            </w:pPr>
          </w:p>
        </w:tc>
        <w:tc>
          <w:tcPr>
            <w:tcW w:w="97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of CrossAmerica GP LLC as required by Rule 13a-14(a) of the Securities Exchange Act of</w:t>
            </w:r>
          </w:p>
        </w:tc>
        <w:tc>
          <w:tcPr>
            <w:tcW w:w="2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88"/>
              </w:rPr>
              <w:t>1934</w:t>
            </w:r>
          </w:p>
        </w:tc>
        <w:tc>
          <w:tcPr>
            <w:tcW w:w="6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24"/>
                <w:szCs w:val="24"/>
                <w:color w:val="auto"/>
              </w:rPr>
            </w:pPr>
          </w:p>
        </w:tc>
        <w:tc>
          <w:tcPr>
            <w:tcW w:w="972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of CrossAmerica GP LLC as required by Rule 13a-14(a) of the Securities Exchange Act of</w:t>
            </w:r>
          </w:p>
        </w:tc>
        <w:tc>
          <w:tcPr>
            <w:tcW w:w="2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88"/>
              </w:rPr>
              <w:t>1934</w:t>
            </w:r>
          </w:p>
        </w:tc>
        <w:tc>
          <w:tcPr>
            <w:tcW w:w="6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of CrossAmerica GP LLC pursuant to 18 U.S.C. §1350</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712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of CrossAmerica GP LLC pursuant to 18 U.S.C. §1350</w:t>
            </w:r>
          </w:p>
        </w:tc>
        <w:tc>
          <w:tcPr>
            <w:tcW w:w="40" w:type="dxa"/>
            <w:vAlign w:val="bottom"/>
            <w:tcBorders>
              <w:top w:val="single" w:sz="8" w:color="0000FF"/>
            </w:tcBorders>
          </w:tcPr>
          <w:p>
            <w:pPr>
              <w:spacing w:after="0"/>
              <w:rPr>
                <w:sz w:val="24"/>
                <w:szCs w:val="24"/>
                <w:color w:val="auto"/>
              </w:rPr>
            </w:pPr>
          </w:p>
        </w:tc>
        <w:tc>
          <w:tcPr>
            <w:tcW w:w="2840" w:type="dxa"/>
            <w:vAlign w:val="bottom"/>
            <w:gridSpan w:val="3"/>
          </w:tcPr>
          <w:p>
            <w:pPr>
              <w:spacing w:after="0"/>
              <w:rPr>
                <w:sz w:val="24"/>
                <w:szCs w:val="24"/>
                <w:color w:val="auto"/>
              </w:rPr>
            </w:pPr>
          </w:p>
        </w:tc>
      </w:tr>
      <w:tr>
        <w:trPr>
          <w:trHeight w:val="452"/>
        </w:trPr>
        <w:tc>
          <w:tcPr>
            <w:tcW w:w="1140" w:type="dxa"/>
            <w:vAlign w:val="bottom"/>
          </w:tcPr>
          <w:p>
            <w:pPr>
              <w:spacing w:after="0"/>
              <w:rPr>
                <w:sz w:val="24"/>
                <w:szCs w:val="24"/>
                <w:color w:val="auto"/>
              </w:rPr>
            </w:pPr>
          </w:p>
        </w:tc>
        <w:tc>
          <w:tcPr>
            <w:tcW w:w="7220" w:type="dxa"/>
            <w:vAlign w:val="bottom"/>
            <w:gridSpan w:val="3"/>
          </w:tcPr>
          <w:p>
            <w:pPr>
              <w:jc w:val="right"/>
              <w:ind w:right="26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 within the Inline XBRL document.</w:t>
      </w:r>
    </w:p>
    <w:p>
      <w:pPr>
        <w:spacing w:after="0" w:line="67" w:lineRule="exact"/>
        <w:rPr>
          <w:sz w:val="20"/>
          <w:szCs w:val="20"/>
          <w:color w:val="auto"/>
        </w:rPr>
      </w:pPr>
    </w:p>
    <w:p>
      <w:pPr>
        <w:sectPr>
          <w:pgSz w:w="11900" w:h="16838" w:orient="portrait"/>
          <w:cols w:equalWidth="0" w:num="2">
            <w:col w:w="700" w:space="560"/>
            <w:col w:w="9600"/>
          </w:cols>
          <w:pgMar w:left="320" w:top="1107" w:right="7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 Linkbase Documents</w:t>
      </w:r>
    </w:p>
    <w:p>
      <w:pPr>
        <w:spacing w:after="0" w:line="142" w:lineRule="exact"/>
        <w:rPr>
          <w:sz w:val="20"/>
          <w:szCs w:val="20"/>
          <w:color w:val="auto"/>
        </w:rPr>
      </w:pPr>
    </w:p>
    <w:p>
      <w:pPr>
        <w:sectPr>
          <w:pgSz w:w="11900" w:h="16838" w:orient="portrait"/>
          <w:cols w:equalWidth="0" w:num="2">
            <w:col w:w="760" w:space="500"/>
            <w:col w:w="9600"/>
          </w:cols>
          <w:pgMar w:left="320" w:top="1107" w:right="7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11" w:lineRule="exact"/>
        <w:rPr>
          <w:sz w:val="20"/>
          <w:szCs w:val="20"/>
          <w:color w:val="auto"/>
        </w:rPr>
      </w:pPr>
    </w:p>
    <w:p>
      <w:pPr>
        <w:sectPr>
          <w:pgSz w:w="11900" w:h="16838" w:orient="portrait"/>
          <w:cols w:equalWidth="0" w:num="2">
            <w:col w:w="540" w:space="720"/>
            <w:col w:w="9600"/>
          </w:cols>
          <w:pgMar w:left="320" w:top="1107" w:right="71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jc w:val="center"/>
        <w:ind w:left="5540" w:right="100" w:hanging="5532"/>
        <w:spacing w:after="0" w:line="761" w:lineRule="auto"/>
        <w:tabs>
          <w:tab w:leader="none" w:pos="1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considered to be “filed” for purposes of Section 18 of the Securities Exchange Act of 1934 or otherwise subject to the liabilities of that section.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07" w:right="71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CROSSAMERICA PARTNERS LP</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CROSSAMERICA GP LLC, its General Partner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Maura Topper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(Duly Authorized Officer and 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Maura Topper, certify that:</w:t>
      </w:r>
    </w:p>
    <w:p>
      <w:pPr>
        <w:spacing w:after="0" w:line="17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CrossAmerica Partners LP;</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500" w:hanging="182"/>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500" w:right="20" w:hanging="182"/>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 Maura Topper</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-127635</wp:posOffset>
            </wp:positionV>
            <wp:extent cx="3703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SECTION 302</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E. Benfield, certify that:</w:t>
      </w:r>
    </w:p>
    <w:p>
      <w:pPr>
        <w:spacing w:after="0" w:line="171"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CrossAmerica Partners LP;</w:t>
      </w:r>
    </w:p>
    <w:p>
      <w:pPr>
        <w:spacing w:after="0" w:line="1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182"/>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500" w:hanging="182"/>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500" w:right="20" w:hanging="182"/>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/s/ Jonathan E. Benfield</w:t>
      </w:r>
    </w:p>
    <w:p>
      <w:pPr>
        <w:spacing w:after="0" w:line="6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Jonathan E. Benfield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-127635</wp:posOffset>
            </wp:positionV>
            <wp:extent cx="3703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Interim Chief Financial Officer and Chief Accounting Officer</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on Form 10-Q of CrossAmerica Partners LP (the “Partnership”) for the quarter ended March 31, 2026, as filed with the Securities and Exchange Commission on the date hereof (the “Report”), I, Maura Topper, President and Chief Executive Officer of CrossAmerica GP LLC, the General Partner of the Partnership, certify, pursuant to 18 U.S.C. § 1350, as adopted pursuant to § 906 of the Sarbanes-Oxley Act of 2002 that, to my knowledge:</w:t>
      </w:r>
    </w:p>
    <w:p>
      <w:pPr>
        <w:spacing w:after="0" w:line="72" w:lineRule="exact"/>
        <w:rPr>
          <w:sz w:val="20"/>
          <w:szCs w:val="20"/>
          <w:color w:val="auto"/>
        </w:rPr>
      </w:pPr>
    </w:p>
    <w:p>
      <w:pPr>
        <w:ind w:left="1020" w:hanging="51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20" w:hanging="518"/>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Maura Topper</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Maura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03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on Form 10-Q of CrossAmerica Partners LP (the “Partnership”) for the quarter ended March 31, 2026, as filed with the Securities and Exchange Commission on the date hereof (the “Report”), I, Jonathan E. Benfield, Interim Chief Financial Officer and Chief Accounting Officer of CrossAmerica GP LLC, the General Partner of the Partnership, certify, pursuant to 18 U.S.C. § 1350, as adopted pursuant to § 906 of the Sarbanes-Oxley Act of 2002 that, to my knowledge:</w:t>
      </w:r>
    </w:p>
    <w:p>
      <w:pPr>
        <w:spacing w:after="0" w:line="72" w:lineRule="exact"/>
        <w:rPr>
          <w:sz w:val="20"/>
          <w:szCs w:val="20"/>
          <w:color w:val="auto"/>
        </w:rPr>
      </w:pPr>
    </w:p>
    <w:p>
      <w:pPr>
        <w:ind w:left="1020" w:hanging="51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20" w:hanging="518"/>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Jonathan E. Benfield</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Jonathan E. Benfield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703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Interim Chief Financial Officer and Chief Accounting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CrossAmerica GP LLC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 General Partner of CrossAmerica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2026-05-06T15:48:03Z</dcterms:created>
  <dcterms:modified xsi:type="dcterms:W3CDTF">2026-05-06T15:48:03Z</dcterms:modified>
</cp:coreProperties>
</file>