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664780.xml.htm"/>
      <w:bookmarkStart w:id="1" w:name="kswkform4_17846647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Kelso Thomas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14921 OLD YORK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CrossAmerica Partners LP</w:t>
              </w:r>
            </w:hyperlink>
            <w:r>
              <w:rPr/>
              <w:t xml:space="preserve"> [ </w:t>
            </w:r>
            <w:r>
              <w:rPr>
                <w:rFonts w:ascii="Times;serif" w:hAnsi="Times;serif"/>
                <w:color w:val="0000FF"/>
                <w:sz w:val="24"/>
                <w:shd w:fill="FFFFFF" w:val="clear"/>
              </w:rPr>
              <w:t>CAPL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2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19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Phantom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3,040</w:t>
            </w:r>
            <w:r>
              <w:rPr>
                <w:rFonts w:ascii="Times;serif" w:hAnsi="Times;serif"/>
                <w:color w:val="008000"/>
                <w:position w:val="7"/>
                <w:sz w:val="16"/>
                <w:sz w:val="20"/>
                <w:shd w:fill="FFFFFF" w:val="clear"/>
              </w:rPr>
              <w:t>(1)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12,184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phantom unit is the economic equivalent of one common unit ("Common Unit") representing a limited partner interest in CrossAmerica Partners L.P. and is accompanied by tandem distribution equivalent rights that entitle the holder to cash payments equal to the amount of distributions authorized to be paid to the holders of Common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phantom units will vest in one annual installment on the anniversary of the grant date, provided the reporting person was in continuous service as a director to the Issuer as of the vesting date, and when vested will be converted into either cash or common units, at the discretion of the Isser.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Christina Casey-Best as attorney-in-fact for Thomas E. Kelso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4243" TargetMode="External"/><Relationship Id="rId5" Type="http://schemas.openxmlformats.org/officeDocument/2006/relationships/hyperlink" Target="http://www.sec.gov/cgi-bin/browse-edgar?action=getcompany&amp;CIK=00015388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678</Words>
  <Characters>3644</Characters>
  <CharactersWithSpaces>4250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