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64830.xml.htm"/>
      <w:bookmarkStart w:id="1" w:name="kswkform4_17846648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Mickey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HAMILTON ST.,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CrossAmerica Partners LP</w:t>
              </w:r>
            </w:hyperlink>
            <w:r>
              <w:rPr/>
              <w:t xml:space="preserve"> [ </w:t>
            </w:r>
            <w:r>
              <w:rPr>
                <w:rFonts w:ascii="Times;serif" w:hAnsi="Times;serif"/>
                <w:color w:val="0000FF"/>
                <w:sz w:val="24"/>
                <w:shd w:fill="FFFFFF" w:val="clear"/>
              </w:rPr>
              <w:t>CAPL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Phantom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unit is the economic equivalent of one common unit ("Common Unit") representing a limited partner interest in CrossAmerica Partners L.P. and is accompanied by tandem distribution equivalent rights that entitle the holder to cash payments equal to the amount of distributions authorized to be paid to the holders of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units will vest in one annual installment on the first anniversary of the grant date, provided the reporting person was in continuous service as a director to the Issuer as of the vesting date, and when vested will be converted into either cash or common units, at the discretion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Christina Casey-Best as Attorney-in-Fact for Mickey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1202" TargetMode="External"/><Relationship Id="rId5" Type="http://schemas.openxmlformats.org/officeDocument/2006/relationships/hyperlink" Target="http://www.sec.gov/cgi-bin/browse-edgar?action=getcompany&amp;CIK=00015388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3652</Characters>
  <CharactersWithSpaces>4259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